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0"/>
          <w:szCs w:val="30"/>
        </w:rPr>
      </w:pPr>
      <w:r>
        <w:rPr>
          <w:rFonts w:hint="eastAsia"/>
          <w:b/>
          <w:bCs/>
          <w:sz w:val="30"/>
          <w:szCs w:val="30"/>
        </w:rPr>
        <w:t>送悦科技乡村物流配送体系建设项目（</w:t>
      </w:r>
      <w:r>
        <w:rPr>
          <w:rFonts w:hint="eastAsia"/>
          <w:b/>
          <w:bCs/>
          <w:sz w:val="30"/>
          <w:szCs w:val="30"/>
          <w:lang w:val="en-US" w:eastAsia="zh-CN"/>
        </w:rPr>
        <w:t>二</w:t>
      </w:r>
      <w:r>
        <w:rPr>
          <w:rFonts w:hint="eastAsia"/>
          <w:b/>
          <w:bCs/>
          <w:sz w:val="30"/>
          <w:szCs w:val="30"/>
        </w:rPr>
        <w:t>期）需求书</w:t>
      </w:r>
    </w:p>
    <w:p>
      <w:pPr>
        <w:jc w:val="center"/>
        <w:rPr>
          <w:b/>
          <w:bCs/>
          <w:sz w:val="30"/>
          <w:szCs w:val="30"/>
        </w:rPr>
      </w:pPr>
    </w:p>
    <w:p>
      <w:pPr>
        <w:jc w:val="center"/>
        <w:rPr>
          <w:sz w:val="28"/>
          <w:szCs w:val="28"/>
        </w:rPr>
      </w:pPr>
      <w:r>
        <w:rPr>
          <w:sz w:val="28"/>
          <w:szCs w:val="28"/>
        </w:rPr>
        <w:t>第一章  商务条款</w:t>
      </w:r>
    </w:p>
    <w:p>
      <w:pPr>
        <w:spacing w:line="360" w:lineRule="auto"/>
        <w:rPr>
          <w:sz w:val="24"/>
        </w:rPr>
      </w:pPr>
      <w:r>
        <w:rPr>
          <w:sz w:val="24"/>
        </w:rPr>
        <w:t>一、项目背景</w:t>
      </w:r>
    </w:p>
    <w:p>
      <w:pPr>
        <w:spacing w:line="360" w:lineRule="auto"/>
        <w:ind w:firstLine="420"/>
        <w:rPr>
          <w:sz w:val="24"/>
        </w:rPr>
      </w:pPr>
      <w:r>
        <w:rPr>
          <w:rFonts w:hint="eastAsia"/>
          <w:sz w:val="24"/>
        </w:rPr>
        <w:t>为落实国家邮政局批复的湖南省邮政业安全中心信息化技术协同试点（项目），推动湖南省农村寄递物流体系建设，助力湖南省农业农村经济发展和乡村振兴，我司积极参与湖南省农村寄递物流体系建设，实现邮政业大数据监管、县域共配、末端网点覆盖、隐私面单、北斗应用等目标。</w:t>
      </w:r>
    </w:p>
    <w:p>
      <w:pPr>
        <w:spacing w:line="360" w:lineRule="auto"/>
        <w:ind w:firstLine="420"/>
        <w:rPr>
          <w:sz w:val="24"/>
        </w:rPr>
      </w:pPr>
      <w:r>
        <w:rPr>
          <w:sz w:val="24"/>
        </w:rPr>
        <w:t>综合考虑成本、技术实现及建设周期等因素</w:t>
      </w:r>
      <w:r>
        <w:rPr>
          <w:rFonts w:hint="eastAsia"/>
          <w:sz w:val="24"/>
        </w:rPr>
        <w:t>，需要向合作商采购</w:t>
      </w:r>
      <w:r>
        <w:rPr>
          <w:rFonts w:hint="eastAsia"/>
          <w:b/>
          <w:bCs/>
          <w:color w:val="FF0000"/>
          <w:sz w:val="24"/>
        </w:rPr>
        <w:t>行业终端通信服务包</w:t>
      </w:r>
      <w:r>
        <w:rPr>
          <w:rFonts w:hint="eastAsia"/>
          <w:sz w:val="24"/>
        </w:rPr>
        <w:t>，每套</w:t>
      </w:r>
      <w:r>
        <w:rPr>
          <w:rFonts w:hint="eastAsia"/>
          <w:b/>
          <w:bCs/>
          <w:color w:val="FF0000"/>
          <w:sz w:val="24"/>
        </w:rPr>
        <w:t>行业终端通信服务包</w:t>
      </w:r>
      <w:r>
        <w:rPr>
          <w:rFonts w:hint="eastAsia"/>
          <w:sz w:val="24"/>
        </w:rPr>
        <w:t>包括</w:t>
      </w:r>
      <w:r>
        <w:rPr>
          <w:rFonts w:hint="eastAsia"/>
          <w:b/>
          <w:bCs/>
          <w:color w:val="FF0000"/>
          <w:sz w:val="24"/>
        </w:rPr>
        <w:t>快递智能网联一体机（1台）、物联网卡（10G）、语音专线（3000分钟）、短信（500条）</w:t>
      </w:r>
      <w:r>
        <w:rPr>
          <w:rFonts w:hint="eastAsia"/>
          <w:sz w:val="24"/>
        </w:rPr>
        <w:t>在内的一站式物流配送服务。本次招标将采购</w:t>
      </w:r>
      <w:r>
        <w:rPr>
          <w:b/>
          <w:bCs/>
          <w:color w:val="FF0000"/>
          <w:sz w:val="24"/>
        </w:rPr>
        <w:t>1</w:t>
      </w:r>
      <w:r>
        <w:rPr>
          <w:rFonts w:hint="eastAsia"/>
          <w:b/>
          <w:bCs/>
          <w:color w:val="FF0000"/>
          <w:sz w:val="24"/>
          <w:lang w:val="en-US" w:eastAsia="zh-CN"/>
        </w:rPr>
        <w:t>516</w:t>
      </w:r>
      <w:r>
        <w:rPr>
          <w:rFonts w:hint="eastAsia"/>
          <w:sz w:val="24"/>
        </w:rPr>
        <w:t>套</w:t>
      </w:r>
      <w:r>
        <w:rPr>
          <w:rFonts w:hint="eastAsia"/>
          <w:b/>
          <w:bCs/>
          <w:color w:val="FF0000"/>
          <w:sz w:val="24"/>
        </w:rPr>
        <w:t>行业终端通信服务包，</w:t>
      </w:r>
      <w:r>
        <w:rPr>
          <w:rFonts w:hint="eastAsia"/>
          <w:sz w:val="24"/>
        </w:rPr>
        <w:t>共同服务好“快递下乡”的国家战略目标。</w:t>
      </w:r>
    </w:p>
    <w:p>
      <w:pPr>
        <w:spacing w:line="360" w:lineRule="auto"/>
        <w:rPr>
          <w:sz w:val="24"/>
        </w:rPr>
      </w:pPr>
      <w:r>
        <w:rPr>
          <w:sz w:val="24"/>
        </w:rPr>
        <w:t>二、项目限价</w:t>
      </w:r>
    </w:p>
    <w:p>
      <w:pPr>
        <w:spacing w:line="360" w:lineRule="auto"/>
        <w:ind w:firstLine="420"/>
        <w:rPr>
          <w:sz w:val="24"/>
        </w:rPr>
      </w:pPr>
      <w:r>
        <w:rPr>
          <w:sz w:val="24"/>
        </w:rPr>
        <w:t>本次</w:t>
      </w:r>
      <w:r>
        <w:rPr>
          <w:rFonts w:hint="eastAsia"/>
          <w:sz w:val="24"/>
        </w:rPr>
        <w:t>招标</w:t>
      </w:r>
      <w:r>
        <w:rPr>
          <w:sz w:val="24"/>
        </w:rPr>
        <w:t>报价：</w:t>
      </w:r>
      <w:r>
        <w:rPr>
          <w:rFonts w:hint="eastAsia"/>
          <w:b/>
          <w:bCs/>
          <w:color w:val="FF0000"/>
          <w:sz w:val="24"/>
        </w:rPr>
        <w:t>行业终端通信服务包</w:t>
      </w:r>
      <w:r>
        <w:rPr>
          <w:rFonts w:hint="eastAsia"/>
          <w:b/>
          <w:bCs/>
          <w:color w:val="FF0000"/>
          <w:sz w:val="24"/>
          <w:lang w:val="en-US" w:eastAsia="zh-CN"/>
        </w:rPr>
        <w:t>1516</w:t>
      </w:r>
      <w:r>
        <w:rPr>
          <w:rFonts w:hint="eastAsia"/>
          <w:b/>
          <w:bCs/>
          <w:color w:val="FF0000"/>
          <w:sz w:val="24"/>
        </w:rPr>
        <w:t>套3年总价现价含税人民币</w:t>
      </w:r>
      <w:r>
        <w:rPr>
          <w:b/>
          <w:bCs/>
          <w:color w:val="FF0000"/>
          <w:sz w:val="24"/>
        </w:rPr>
        <w:t>1</w:t>
      </w:r>
      <w:r>
        <w:rPr>
          <w:rFonts w:hint="eastAsia"/>
          <w:b/>
          <w:bCs/>
          <w:color w:val="FF0000"/>
          <w:sz w:val="24"/>
          <w:lang w:val="en-US" w:eastAsia="zh-CN"/>
        </w:rPr>
        <w:t>3</w:t>
      </w:r>
      <w:r>
        <w:rPr>
          <w:rFonts w:hint="eastAsia"/>
          <w:b/>
          <w:bCs/>
          <w:color w:val="FF0000"/>
          <w:sz w:val="24"/>
        </w:rPr>
        <w:t>,</w:t>
      </w:r>
      <w:r>
        <w:rPr>
          <w:rFonts w:hint="eastAsia"/>
          <w:b/>
          <w:bCs/>
          <w:color w:val="FF0000"/>
          <w:sz w:val="24"/>
          <w:lang w:val="en-US" w:eastAsia="zh-CN"/>
        </w:rPr>
        <w:t>098</w:t>
      </w:r>
      <w:r>
        <w:rPr>
          <w:rFonts w:hint="eastAsia"/>
          <w:b/>
          <w:bCs/>
          <w:color w:val="FF0000"/>
          <w:sz w:val="24"/>
        </w:rPr>
        <w:t>,</w:t>
      </w:r>
      <w:r>
        <w:rPr>
          <w:rFonts w:hint="eastAsia"/>
          <w:b/>
          <w:bCs/>
          <w:color w:val="FF0000"/>
          <w:sz w:val="24"/>
          <w:lang w:val="en-US" w:eastAsia="zh-CN"/>
        </w:rPr>
        <w:t>240</w:t>
      </w:r>
      <w:r>
        <w:rPr>
          <w:rFonts w:hint="eastAsia"/>
          <w:b/>
          <w:bCs/>
          <w:color w:val="FF0000"/>
          <w:sz w:val="24"/>
        </w:rPr>
        <w:t>.00元，行业终端通信服务包</w:t>
      </w:r>
      <w:r>
        <w:rPr>
          <w:sz w:val="24"/>
        </w:rPr>
        <w:t>单价限价含税人民币</w:t>
      </w:r>
      <w:r>
        <w:rPr>
          <w:rFonts w:hint="eastAsia"/>
          <w:sz w:val="24"/>
        </w:rPr>
        <w:t>2</w:t>
      </w:r>
      <w:r>
        <w:rPr>
          <w:sz w:val="24"/>
        </w:rPr>
        <w:t>4</w:t>
      </w:r>
      <w:r>
        <w:rPr>
          <w:rFonts w:hint="eastAsia"/>
          <w:sz w:val="24"/>
        </w:rPr>
        <w:t>0</w:t>
      </w:r>
      <w:r>
        <w:rPr>
          <w:sz w:val="24"/>
        </w:rPr>
        <w:t>元/</w:t>
      </w:r>
      <w:r>
        <w:rPr>
          <w:rFonts w:hint="eastAsia"/>
          <w:sz w:val="24"/>
        </w:rPr>
        <w:t>套/月</w:t>
      </w:r>
      <w:r>
        <w:rPr>
          <w:sz w:val="24"/>
        </w:rPr>
        <w:t>，税率6%。</w:t>
      </w:r>
    </w:p>
    <w:p>
      <w:pPr>
        <w:spacing w:line="360" w:lineRule="auto"/>
        <w:rPr>
          <w:sz w:val="24"/>
        </w:rPr>
      </w:pPr>
      <w:r>
        <w:rPr>
          <w:sz w:val="24"/>
        </w:rPr>
        <w:t>三、项目期限</w:t>
      </w:r>
    </w:p>
    <w:p>
      <w:pPr>
        <w:spacing w:line="360" w:lineRule="auto"/>
        <w:ind w:firstLine="420"/>
        <w:rPr>
          <w:sz w:val="24"/>
        </w:rPr>
      </w:pPr>
      <w:r>
        <w:rPr>
          <w:sz w:val="24"/>
        </w:rPr>
        <w:t>本项目为1期</w:t>
      </w:r>
      <w:r>
        <w:rPr>
          <w:rFonts w:hint="eastAsia"/>
          <w:sz w:val="24"/>
        </w:rPr>
        <w:t>3年</w:t>
      </w:r>
      <w:r>
        <w:rPr>
          <w:sz w:val="24"/>
        </w:rPr>
        <w:t>合计3</w:t>
      </w:r>
      <w:r>
        <w:rPr>
          <w:rFonts w:hint="eastAsia"/>
          <w:sz w:val="24"/>
        </w:rPr>
        <w:t>6</w:t>
      </w:r>
      <w:r>
        <w:rPr>
          <w:sz w:val="24"/>
        </w:rPr>
        <w:t>个月。</w:t>
      </w:r>
    </w:p>
    <w:p>
      <w:pPr>
        <w:rPr>
          <w:sz w:val="24"/>
        </w:rPr>
      </w:pPr>
      <w:r>
        <w:rPr>
          <w:rFonts w:hint="eastAsia"/>
          <w:sz w:val="24"/>
        </w:rPr>
        <w:t>四</w:t>
      </w:r>
      <w:r>
        <w:rPr>
          <w:sz w:val="24"/>
        </w:rPr>
        <w:t>、评定方法</w:t>
      </w:r>
    </w:p>
    <w:p>
      <w:pPr>
        <w:spacing w:line="360" w:lineRule="auto"/>
        <w:ind w:firstLine="420"/>
        <w:rPr>
          <w:sz w:val="24"/>
        </w:rPr>
      </w:pPr>
      <w:r>
        <w:rPr>
          <w:rFonts w:hint="eastAsia"/>
          <w:sz w:val="24"/>
        </w:rPr>
        <w:t>（1）</w:t>
      </w:r>
      <w:r>
        <w:rPr>
          <w:sz w:val="24"/>
        </w:rPr>
        <w:t>价格评分：以有效应答人报价中价格最低的</w:t>
      </w:r>
      <w:r>
        <w:rPr>
          <w:rFonts w:hint="eastAsia"/>
          <w:sz w:val="24"/>
        </w:rPr>
        <w:t>投标</w:t>
      </w:r>
      <w:r>
        <w:rPr>
          <w:sz w:val="24"/>
        </w:rPr>
        <w:t>报价为基准价，应答人的价格得分=（基准价 / 应答人报价）×价格分（精确到小数点后两位）</w:t>
      </w:r>
    </w:p>
    <w:p>
      <w:pPr>
        <w:ind w:firstLine="420"/>
        <w:rPr>
          <w:sz w:val="24"/>
        </w:rPr>
      </w:pPr>
      <w:r>
        <w:rPr>
          <w:rFonts w:hint="eastAsia"/>
          <w:sz w:val="24"/>
        </w:rPr>
        <w:t>（2）</w:t>
      </w:r>
      <w:r>
        <w:rPr>
          <w:sz w:val="24"/>
        </w:rPr>
        <w:t>技术评分：</w:t>
      </w:r>
    </w:p>
    <w:p>
      <w:pPr>
        <w:rPr>
          <w:sz w:val="24"/>
        </w:rPr>
      </w:pPr>
      <w:r>
        <w:rPr>
          <w:sz w:val="24"/>
        </w:rPr>
        <w:t> </w:t>
      </w:r>
    </w:p>
    <w:tbl>
      <w:tblPr>
        <w:tblStyle w:val="8"/>
        <w:tblW w:w="880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1455"/>
        <w:gridCol w:w="1310"/>
        <w:gridCol w:w="1370"/>
        <w:gridCol w:w="466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20" w:hRule="atLeast"/>
          <w:jc w:val="center"/>
        </w:trPr>
        <w:tc>
          <w:tcPr>
            <w:tcW w:w="145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szCs w:val="21"/>
              </w:rPr>
            </w:pPr>
            <w:r>
              <w:rPr>
                <w:szCs w:val="21"/>
              </w:rPr>
              <w:t>一级功能项</w:t>
            </w:r>
          </w:p>
        </w:tc>
        <w:tc>
          <w:tcPr>
            <w:tcW w:w="131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szCs w:val="21"/>
              </w:rPr>
            </w:pPr>
            <w:r>
              <w:rPr>
                <w:szCs w:val="21"/>
              </w:rPr>
              <w:t>二级功能项</w:t>
            </w:r>
          </w:p>
        </w:tc>
        <w:tc>
          <w:tcPr>
            <w:tcW w:w="137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szCs w:val="21"/>
              </w:rPr>
            </w:pPr>
            <w:r>
              <w:rPr>
                <w:szCs w:val="21"/>
              </w:rPr>
              <w:t>三级功能项</w:t>
            </w:r>
          </w:p>
        </w:tc>
        <w:tc>
          <w:tcPr>
            <w:tcW w:w="466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szCs w:val="21"/>
              </w:rPr>
            </w:pPr>
            <w:r>
              <w:rPr>
                <w:szCs w:val="21"/>
              </w:rPr>
              <w:t>评分标准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5" w:hRule="atLeast"/>
          <w:jc w:val="center"/>
        </w:trPr>
        <w:tc>
          <w:tcPr>
            <w:tcW w:w="1455" w:type="dxa"/>
            <w:vMerge w:val="restart"/>
            <w:tcBorders>
              <w:top w:val="nil"/>
              <w:left w:val="single" w:color="auto" w:sz="8" w:space="0"/>
              <w:bottom w:val="nil"/>
              <w:right w:val="single" w:color="auto" w:sz="8" w:space="0"/>
            </w:tcBorders>
            <w:shd w:val="clear" w:color="auto" w:fill="auto"/>
            <w:tcMar>
              <w:left w:w="108" w:type="dxa"/>
              <w:right w:w="108" w:type="dxa"/>
            </w:tcMar>
            <w:vAlign w:val="center"/>
          </w:tcPr>
          <w:p>
            <w:pPr>
              <w:rPr>
                <w:szCs w:val="21"/>
              </w:rPr>
            </w:pPr>
            <w:r>
              <w:rPr>
                <w:szCs w:val="21"/>
              </w:rPr>
              <w:t>综合资质</w:t>
            </w:r>
            <w:r>
              <w:rPr>
                <w:szCs w:val="21"/>
              </w:rPr>
              <w:br w:type="textWrapping"/>
            </w:r>
            <w:r>
              <w:rPr>
                <w:szCs w:val="21"/>
              </w:rPr>
              <w:t>（30分）</w:t>
            </w:r>
          </w:p>
        </w:tc>
        <w:tc>
          <w:tcPr>
            <w:tcW w:w="1310" w:type="dxa"/>
            <w:vMerge w:val="restart"/>
            <w:tcBorders>
              <w:top w:val="nil"/>
              <w:left w:val="single" w:color="auto" w:sz="8" w:space="0"/>
              <w:bottom w:val="single" w:color="000000" w:sz="8" w:space="0"/>
              <w:right w:val="single" w:color="auto" w:sz="8" w:space="0"/>
            </w:tcBorders>
            <w:shd w:val="clear" w:color="auto" w:fill="auto"/>
            <w:tcMar>
              <w:left w:w="108" w:type="dxa"/>
              <w:right w:w="108" w:type="dxa"/>
            </w:tcMar>
            <w:vAlign w:val="center"/>
          </w:tcPr>
          <w:p>
            <w:pPr>
              <w:rPr>
                <w:szCs w:val="21"/>
              </w:rPr>
            </w:pPr>
            <w:r>
              <w:rPr>
                <w:szCs w:val="21"/>
              </w:rPr>
              <w:t>主体资格</w:t>
            </w:r>
            <w:r>
              <w:rPr>
                <w:szCs w:val="21"/>
              </w:rPr>
              <w:br w:type="textWrapping"/>
            </w:r>
            <w:r>
              <w:rPr>
                <w:szCs w:val="21"/>
              </w:rPr>
              <w:t>（9分）</w:t>
            </w:r>
          </w:p>
        </w:tc>
        <w:tc>
          <w:tcPr>
            <w:tcW w:w="1370" w:type="dxa"/>
            <w:tcBorders>
              <w:top w:val="nil"/>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专业资质认证（3分）</w:t>
            </w:r>
          </w:p>
        </w:tc>
        <w:tc>
          <w:tcPr>
            <w:tcW w:w="4665" w:type="dxa"/>
            <w:tcBorders>
              <w:top w:val="nil"/>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每提供1项，得1.5分，满分得3分。</w:t>
            </w:r>
            <w:r>
              <w:rPr>
                <w:szCs w:val="21"/>
              </w:rPr>
              <w:br w:type="textWrapping"/>
            </w:r>
            <w:r>
              <w:rPr>
                <w:szCs w:val="21"/>
              </w:rPr>
              <w:t>1.具有《CMMI III V1.2以上（含III级）》</w:t>
            </w:r>
            <w:r>
              <w:rPr>
                <w:szCs w:val="21"/>
              </w:rPr>
              <w:br w:type="textWrapping"/>
            </w:r>
            <w:r>
              <w:rPr>
                <w:szCs w:val="21"/>
              </w:rPr>
              <w:t>2.具有市级或以上《高新技术企业认证》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5" w:hRule="atLeast"/>
          <w:jc w:val="center"/>
        </w:trPr>
        <w:tc>
          <w:tcPr>
            <w:tcW w:w="1455" w:type="dxa"/>
            <w:vMerge w:val="continue"/>
            <w:tcBorders>
              <w:top w:val="nil"/>
              <w:left w:val="single" w:color="auto" w:sz="8" w:space="0"/>
              <w:bottom w:val="nil"/>
              <w:right w:val="single" w:color="auto" w:sz="8" w:space="0"/>
            </w:tcBorders>
            <w:shd w:val="clear" w:color="auto" w:fill="auto"/>
            <w:tcMar>
              <w:left w:w="108" w:type="dxa"/>
              <w:right w:w="108" w:type="dxa"/>
            </w:tcMar>
            <w:vAlign w:val="center"/>
          </w:tcPr>
          <w:p>
            <w:pPr>
              <w:rPr>
                <w:szCs w:val="21"/>
              </w:rPr>
            </w:pPr>
          </w:p>
        </w:tc>
        <w:tc>
          <w:tcPr>
            <w:tcW w:w="1310" w:type="dxa"/>
            <w:vMerge w:val="continue"/>
            <w:tcBorders>
              <w:top w:val="nil"/>
              <w:left w:val="single" w:color="auto" w:sz="8" w:space="0"/>
              <w:bottom w:val="single" w:color="000000" w:sz="8" w:space="0"/>
              <w:right w:val="single" w:color="auto" w:sz="8" w:space="0"/>
            </w:tcBorders>
            <w:shd w:val="clear" w:color="auto" w:fill="auto"/>
            <w:tcMar>
              <w:left w:w="108" w:type="dxa"/>
              <w:right w:w="108" w:type="dxa"/>
            </w:tcMar>
            <w:vAlign w:val="center"/>
          </w:tcPr>
          <w:p>
            <w:pPr>
              <w:rPr>
                <w:szCs w:val="21"/>
              </w:rPr>
            </w:pPr>
          </w:p>
        </w:tc>
        <w:tc>
          <w:tcPr>
            <w:tcW w:w="1370" w:type="dxa"/>
            <w:tcBorders>
              <w:top w:val="nil"/>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管理体系认证（2分）</w:t>
            </w:r>
          </w:p>
        </w:tc>
        <w:tc>
          <w:tcPr>
            <w:tcW w:w="4665" w:type="dxa"/>
            <w:tcBorders>
              <w:top w:val="nil"/>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具有信息安全管理体系认证（ISO27000族系列）或质量管理体系认证（ISO9000族系列），得2分。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5" w:hRule="atLeast"/>
          <w:jc w:val="center"/>
        </w:trPr>
        <w:tc>
          <w:tcPr>
            <w:tcW w:w="1455" w:type="dxa"/>
            <w:vMerge w:val="continue"/>
            <w:tcBorders>
              <w:top w:val="nil"/>
              <w:left w:val="single" w:color="auto" w:sz="8" w:space="0"/>
              <w:bottom w:val="nil"/>
              <w:right w:val="single" w:color="auto" w:sz="8" w:space="0"/>
            </w:tcBorders>
            <w:shd w:val="clear" w:color="auto" w:fill="auto"/>
            <w:tcMar>
              <w:left w:w="108" w:type="dxa"/>
              <w:right w:w="108" w:type="dxa"/>
            </w:tcMar>
            <w:vAlign w:val="center"/>
          </w:tcPr>
          <w:p>
            <w:pPr>
              <w:rPr>
                <w:szCs w:val="21"/>
              </w:rPr>
            </w:pPr>
          </w:p>
        </w:tc>
        <w:tc>
          <w:tcPr>
            <w:tcW w:w="1310" w:type="dxa"/>
            <w:vMerge w:val="continue"/>
            <w:tcBorders>
              <w:top w:val="nil"/>
              <w:left w:val="single" w:color="auto" w:sz="8" w:space="0"/>
              <w:bottom w:val="single" w:color="000000" w:sz="8" w:space="0"/>
              <w:right w:val="single" w:color="auto" w:sz="8" w:space="0"/>
            </w:tcBorders>
            <w:shd w:val="clear" w:color="auto" w:fill="auto"/>
            <w:tcMar>
              <w:left w:w="108" w:type="dxa"/>
              <w:right w:w="108" w:type="dxa"/>
            </w:tcMar>
            <w:vAlign w:val="center"/>
          </w:tcPr>
          <w:p>
            <w:pPr>
              <w:rPr>
                <w:szCs w:val="21"/>
              </w:rPr>
            </w:pPr>
          </w:p>
        </w:tc>
        <w:tc>
          <w:tcPr>
            <w:tcW w:w="1370" w:type="dxa"/>
            <w:tcBorders>
              <w:top w:val="nil"/>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主营业务收入（4分）</w:t>
            </w:r>
          </w:p>
        </w:tc>
        <w:tc>
          <w:tcPr>
            <w:tcW w:w="4665" w:type="dxa"/>
            <w:tcBorders>
              <w:top w:val="nil"/>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主营业务收入不低于50</w:t>
            </w:r>
            <w:r>
              <w:rPr>
                <w:rFonts w:hint="eastAsia"/>
                <w:szCs w:val="21"/>
              </w:rPr>
              <w:t>0</w:t>
            </w:r>
            <w:r>
              <w:rPr>
                <w:szCs w:val="21"/>
              </w:rPr>
              <w:t>万元，达到50</w:t>
            </w:r>
            <w:r>
              <w:rPr>
                <w:rFonts w:hint="eastAsia"/>
                <w:szCs w:val="21"/>
              </w:rPr>
              <w:t>0</w:t>
            </w:r>
            <w:r>
              <w:rPr>
                <w:szCs w:val="21"/>
              </w:rPr>
              <w:t>万得1分，每增加50</w:t>
            </w:r>
            <w:r>
              <w:rPr>
                <w:rFonts w:hint="eastAsia"/>
                <w:szCs w:val="21"/>
              </w:rPr>
              <w:t>0</w:t>
            </w:r>
            <w:r>
              <w:rPr>
                <w:szCs w:val="21"/>
              </w:rPr>
              <w:t>万元加1分，满分得4分；</w:t>
            </w:r>
            <w:r>
              <w:rPr>
                <w:szCs w:val="21"/>
              </w:rPr>
              <w:br w:type="textWrapping"/>
            </w:r>
            <w:r>
              <w:rPr>
                <w:szCs w:val="21"/>
              </w:rPr>
              <w:t>注：需提供第三方单位出具的财务审计报表，否则不得分。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65" w:hRule="atLeast"/>
          <w:jc w:val="center"/>
        </w:trPr>
        <w:tc>
          <w:tcPr>
            <w:tcW w:w="1455" w:type="dxa"/>
            <w:vMerge w:val="continue"/>
            <w:tcBorders>
              <w:top w:val="nil"/>
              <w:left w:val="single" w:color="auto" w:sz="8" w:space="0"/>
              <w:bottom w:val="nil"/>
              <w:right w:val="single" w:color="auto" w:sz="8" w:space="0"/>
            </w:tcBorders>
            <w:shd w:val="clear" w:color="auto" w:fill="auto"/>
            <w:tcMar>
              <w:left w:w="108" w:type="dxa"/>
              <w:right w:w="108" w:type="dxa"/>
            </w:tcMar>
            <w:vAlign w:val="center"/>
          </w:tcPr>
          <w:p>
            <w:pPr>
              <w:rPr>
                <w:szCs w:val="21"/>
              </w:rPr>
            </w:pPr>
          </w:p>
        </w:tc>
        <w:tc>
          <w:tcPr>
            <w:tcW w:w="1310" w:type="dxa"/>
            <w:tcBorders>
              <w:top w:val="nil"/>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人力资源</w:t>
            </w:r>
            <w:r>
              <w:rPr>
                <w:szCs w:val="21"/>
              </w:rPr>
              <w:br w:type="textWrapping"/>
            </w:r>
            <w:r>
              <w:rPr>
                <w:szCs w:val="21"/>
              </w:rPr>
              <w:t>(2分)</w:t>
            </w:r>
          </w:p>
        </w:tc>
        <w:tc>
          <w:tcPr>
            <w:tcW w:w="1370" w:type="dxa"/>
            <w:tcBorders>
              <w:top w:val="nil"/>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管理人员学历（2分）</w:t>
            </w:r>
          </w:p>
        </w:tc>
        <w:tc>
          <w:tcPr>
            <w:tcW w:w="4665" w:type="dxa"/>
            <w:tcBorders>
              <w:top w:val="nil"/>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具有全日制本科或以上学历/学位证书，得2分。</w:t>
            </w:r>
            <w:r>
              <w:rPr>
                <w:szCs w:val="21"/>
              </w:rPr>
              <w:br w:type="textWrapping"/>
            </w:r>
            <w:r>
              <w:rPr>
                <w:szCs w:val="21"/>
              </w:rPr>
              <w:t>注：学历评审须提供学历/学位证书扫描件及应标单位近3个月载有社保部门公章的社保缴纳证明，否则不得分。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45" w:hRule="atLeast"/>
          <w:jc w:val="center"/>
        </w:trPr>
        <w:tc>
          <w:tcPr>
            <w:tcW w:w="1455" w:type="dxa"/>
            <w:vMerge w:val="continue"/>
            <w:tcBorders>
              <w:top w:val="nil"/>
              <w:left w:val="single" w:color="auto" w:sz="8" w:space="0"/>
              <w:bottom w:val="nil"/>
              <w:right w:val="single" w:color="auto" w:sz="8" w:space="0"/>
            </w:tcBorders>
            <w:shd w:val="clear" w:color="auto" w:fill="auto"/>
            <w:tcMar>
              <w:left w:w="108" w:type="dxa"/>
              <w:right w:w="108" w:type="dxa"/>
            </w:tcMar>
            <w:vAlign w:val="center"/>
          </w:tcPr>
          <w:p>
            <w:pPr>
              <w:rPr>
                <w:szCs w:val="21"/>
              </w:rPr>
            </w:pPr>
          </w:p>
        </w:tc>
        <w:tc>
          <w:tcPr>
            <w:tcW w:w="1310" w:type="dxa"/>
            <w:tcBorders>
              <w:top w:val="nil"/>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项目经验</w:t>
            </w:r>
            <w:r>
              <w:rPr>
                <w:szCs w:val="21"/>
              </w:rPr>
              <w:br w:type="textWrapping"/>
            </w:r>
            <w:r>
              <w:rPr>
                <w:szCs w:val="21"/>
              </w:rPr>
              <w:t>(3分)</w:t>
            </w:r>
          </w:p>
        </w:tc>
        <w:tc>
          <w:tcPr>
            <w:tcW w:w="1370" w:type="dxa"/>
            <w:tcBorders>
              <w:top w:val="nil"/>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同类项目经验（3分）</w:t>
            </w:r>
          </w:p>
        </w:tc>
        <w:tc>
          <w:tcPr>
            <w:tcW w:w="4665" w:type="dxa"/>
            <w:tcBorders>
              <w:top w:val="nil"/>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近三年内本行业累计同类项目经验合同金额超过200万，每增加50万元加1分，满分得3分。</w:t>
            </w:r>
          </w:p>
          <w:p>
            <w:pPr>
              <w:rPr>
                <w:szCs w:val="21"/>
              </w:rPr>
            </w:pPr>
            <w:r>
              <w:rPr>
                <w:szCs w:val="21"/>
              </w:rPr>
              <w:t>注：必须提供合同关键页（包括合同封面、合同金额页、合同签字页），否则不得分。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35" w:hRule="atLeast"/>
          <w:jc w:val="center"/>
        </w:trPr>
        <w:tc>
          <w:tcPr>
            <w:tcW w:w="1455" w:type="dxa"/>
            <w:vMerge w:val="continue"/>
            <w:tcBorders>
              <w:top w:val="nil"/>
              <w:left w:val="single" w:color="auto" w:sz="8" w:space="0"/>
              <w:bottom w:val="nil"/>
              <w:right w:val="single" w:color="auto" w:sz="8" w:space="0"/>
            </w:tcBorders>
            <w:shd w:val="clear" w:color="auto" w:fill="auto"/>
            <w:tcMar>
              <w:left w:w="108" w:type="dxa"/>
              <w:right w:w="108" w:type="dxa"/>
            </w:tcMar>
            <w:vAlign w:val="center"/>
          </w:tcPr>
          <w:p>
            <w:pPr>
              <w:rPr>
                <w:szCs w:val="21"/>
              </w:rPr>
            </w:pPr>
          </w:p>
        </w:tc>
        <w:tc>
          <w:tcPr>
            <w:tcW w:w="1310" w:type="dxa"/>
            <w:tcBorders>
              <w:top w:val="nil"/>
              <w:left w:val="nil"/>
              <w:bottom w:val="nil"/>
              <w:right w:val="single" w:color="auto" w:sz="8" w:space="0"/>
            </w:tcBorders>
            <w:shd w:val="clear" w:color="auto" w:fill="auto"/>
            <w:tcMar>
              <w:left w:w="108" w:type="dxa"/>
              <w:right w:w="108" w:type="dxa"/>
            </w:tcMar>
            <w:vAlign w:val="center"/>
          </w:tcPr>
          <w:p>
            <w:pPr>
              <w:rPr>
                <w:szCs w:val="21"/>
              </w:rPr>
            </w:pPr>
            <w:r>
              <w:rPr>
                <w:szCs w:val="21"/>
              </w:rPr>
              <w:t>响应能力</w:t>
            </w:r>
            <w:r>
              <w:rPr>
                <w:szCs w:val="21"/>
              </w:rPr>
              <w:br w:type="textWrapping"/>
            </w:r>
            <w:r>
              <w:rPr>
                <w:szCs w:val="21"/>
              </w:rPr>
              <w:t>（16分）</w:t>
            </w:r>
          </w:p>
        </w:tc>
        <w:tc>
          <w:tcPr>
            <w:tcW w:w="1370" w:type="dxa"/>
            <w:tcBorders>
              <w:top w:val="nil"/>
              <w:left w:val="nil"/>
              <w:bottom w:val="nil"/>
              <w:right w:val="single" w:color="auto" w:sz="8" w:space="0"/>
            </w:tcBorders>
            <w:shd w:val="clear" w:color="auto" w:fill="auto"/>
            <w:tcMar>
              <w:left w:w="108" w:type="dxa"/>
              <w:right w:w="108" w:type="dxa"/>
            </w:tcMar>
            <w:vAlign w:val="center"/>
          </w:tcPr>
          <w:p>
            <w:pPr>
              <w:rPr>
                <w:szCs w:val="21"/>
              </w:rPr>
            </w:pPr>
            <w:r>
              <w:rPr>
                <w:szCs w:val="21"/>
              </w:rPr>
              <w:t>项目响应能力（16分）</w:t>
            </w:r>
          </w:p>
        </w:tc>
        <w:tc>
          <w:tcPr>
            <w:tcW w:w="4665" w:type="dxa"/>
            <w:tcBorders>
              <w:top w:val="nil"/>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1.产品服务能力:提供能满足项目需求的产品或服务，给予相应的清单，得8分；</w:t>
            </w:r>
          </w:p>
          <w:p>
            <w:pPr>
              <w:rPr>
                <w:szCs w:val="21"/>
              </w:rPr>
            </w:pPr>
            <w:r>
              <w:rPr>
                <w:szCs w:val="21"/>
              </w:rPr>
              <w:t>2.建设实施能力:根据项目工期实现要求提交承诺表；同时按照项目要求提交项目实施计划表，得4分；</w:t>
            </w:r>
          </w:p>
          <w:p>
            <w:pPr>
              <w:rPr>
                <w:szCs w:val="21"/>
              </w:rPr>
            </w:pPr>
            <w:r>
              <w:rPr>
                <w:szCs w:val="21"/>
              </w:rPr>
              <w:t>注：项目有工期实现要求，承诺时间不满足要求不得分；项目无工期实现要求，只需提交项目实施计划表。</w:t>
            </w:r>
          </w:p>
          <w:p>
            <w:pPr>
              <w:rPr>
                <w:szCs w:val="21"/>
              </w:rPr>
            </w:pPr>
            <w:r>
              <w:rPr>
                <w:szCs w:val="21"/>
              </w:rPr>
              <w:t>3.售后服务能力:根据服务响应承诺表，填写故障响应时间、现场响应时间、故障修复时限承诺、备机备件响应承诺，各1分，满分得4分；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95" w:hRule="atLeast"/>
          <w:jc w:val="center"/>
        </w:trPr>
        <w:tc>
          <w:tcPr>
            <w:tcW w:w="1455"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szCs w:val="21"/>
              </w:rPr>
            </w:pPr>
            <w:r>
              <w:rPr>
                <w:szCs w:val="21"/>
              </w:rPr>
              <w:t>项目团队</w:t>
            </w:r>
            <w:r>
              <w:rPr>
                <w:szCs w:val="21"/>
              </w:rPr>
              <w:br w:type="textWrapping"/>
            </w:r>
            <w:r>
              <w:rPr>
                <w:szCs w:val="21"/>
              </w:rPr>
              <w:t>（30分）</w:t>
            </w:r>
          </w:p>
        </w:tc>
        <w:tc>
          <w:tcPr>
            <w:tcW w:w="1310" w:type="dxa"/>
            <w:vMerge w:val="restart"/>
            <w:tcBorders>
              <w:top w:val="single" w:color="auto" w:sz="8" w:space="0"/>
              <w:left w:val="single" w:color="auto" w:sz="8" w:space="0"/>
              <w:bottom w:val="single" w:color="000000" w:sz="8" w:space="0"/>
              <w:right w:val="single" w:color="auto" w:sz="8" w:space="0"/>
            </w:tcBorders>
            <w:shd w:val="clear" w:color="auto" w:fill="auto"/>
            <w:tcMar>
              <w:left w:w="108" w:type="dxa"/>
              <w:right w:w="108" w:type="dxa"/>
            </w:tcMar>
            <w:vAlign w:val="center"/>
          </w:tcPr>
          <w:p>
            <w:pPr>
              <w:rPr>
                <w:szCs w:val="21"/>
              </w:rPr>
            </w:pPr>
            <w:r>
              <w:rPr>
                <w:szCs w:val="21"/>
              </w:rPr>
              <w:t>团队素质</w:t>
            </w:r>
            <w:r>
              <w:rPr>
                <w:szCs w:val="21"/>
              </w:rPr>
              <w:br w:type="textWrapping"/>
            </w:r>
            <w:r>
              <w:rPr>
                <w:szCs w:val="21"/>
              </w:rPr>
              <w:t>（25分）</w:t>
            </w:r>
          </w:p>
        </w:tc>
        <w:tc>
          <w:tcPr>
            <w:tcW w:w="137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项目经理素质（10分）</w:t>
            </w:r>
          </w:p>
        </w:tc>
        <w:tc>
          <w:tcPr>
            <w:tcW w:w="4665" w:type="dxa"/>
            <w:tcBorders>
              <w:top w:val="nil"/>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1.专业技术认证：项目经理具有PMP或项目管理师或工程师或网络工程师或软件工程师或CCNP以上，满足一项得2.5分，满分得5分；</w:t>
            </w:r>
            <w:r>
              <w:rPr>
                <w:szCs w:val="21"/>
              </w:rPr>
              <w:br w:type="textWrapping"/>
            </w:r>
            <w:r>
              <w:rPr>
                <w:szCs w:val="21"/>
              </w:rPr>
              <w:t>2.具有全日制本科或以上学历/学位证书，得5分。</w:t>
            </w:r>
            <w:r>
              <w:rPr>
                <w:szCs w:val="21"/>
              </w:rPr>
              <w:br w:type="textWrapping"/>
            </w:r>
            <w:r>
              <w:rPr>
                <w:szCs w:val="21"/>
              </w:rPr>
              <w:t>注：学历评审须提供学历/学位证书扫描件及应标单位近3个月载有社保部门公章的社保缴纳证明，需承诺项目经理同一服务周期内不得服务其他项目，否则不得分；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45" w:hRule="atLeast"/>
          <w:jc w:val="center"/>
        </w:trPr>
        <w:tc>
          <w:tcPr>
            <w:tcW w:w="145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szCs w:val="21"/>
              </w:rPr>
            </w:pPr>
          </w:p>
        </w:tc>
        <w:tc>
          <w:tcPr>
            <w:tcW w:w="1310" w:type="dxa"/>
            <w:vMerge w:val="continue"/>
            <w:tcBorders>
              <w:top w:val="single" w:color="auto" w:sz="8" w:space="0"/>
              <w:left w:val="single" w:color="auto" w:sz="8" w:space="0"/>
              <w:bottom w:val="single" w:color="000000" w:sz="8" w:space="0"/>
              <w:right w:val="single" w:color="auto" w:sz="8" w:space="0"/>
            </w:tcBorders>
            <w:shd w:val="clear" w:color="auto" w:fill="auto"/>
            <w:tcMar>
              <w:left w:w="108" w:type="dxa"/>
              <w:right w:w="108" w:type="dxa"/>
            </w:tcMar>
            <w:vAlign w:val="center"/>
          </w:tcPr>
          <w:p>
            <w:pPr>
              <w:rPr>
                <w:szCs w:val="21"/>
              </w:rPr>
            </w:pPr>
          </w:p>
        </w:tc>
        <w:tc>
          <w:tcPr>
            <w:tcW w:w="1370" w:type="dxa"/>
            <w:tcBorders>
              <w:top w:val="nil"/>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团队成员素质（15分）</w:t>
            </w:r>
          </w:p>
        </w:tc>
        <w:tc>
          <w:tcPr>
            <w:tcW w:w="4665" w:type="dxa"/>
            <w:tcBorders>
              <w:top w:val="nil"/>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提供专职团队名单，团队成员具有专科及以上学历，每提供1人得3分，满分得15分。</w:t>
            </w:r>
            <w:r>
              <w:rPr>
                <w:szCs w:val="21"/>
              </w:rPr>
              <w:br w:type="textWrapping"/>
            </w:r>
            <w:r>
              <w:rPr>
                <w:szCs w:val="21"/>
              </w:rPr>
              <w:t>注：附人员介绍及学历/学位证书及应标单位近3个月载有社保部门公章的社保缴纳证明，需承诺团队成员同一服务周期内不得服务其他项目，否则不得分；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5" w:hRule="atLeast"/>
          <w:jc w:val="center"/>
        </w:trPr>
        <w:tc>
          <w:tcPr>
            <w:tcW w:w="145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szCs w:val="21"/>
              </w:rPr>
            </w:pPr>
          </w:p>
        </w:tc>
        <w:tc>
          <w:tcPr>
            <w:tcW w:w="1310" w:type="dxa"/>
            <w:tcBorders>
              <w:top w:val="nil"/>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设备投入及其他</w:t>
            </w:r>
            <w:r>
              <w:rPr>
                <w:szCs w:val="21"/>
              </w:rPr>
              <w:br w:type="textWrapping"/>
            </w:r>
            <w:r>
              <w:rPr>
                <w:szCs w:val="21"/>
              </w:rPr>
              <w:t>(5分)</w:t>
            </w:r>
          </w:p>
        </w:tc>
        <w:tc>
          <w:tcPr>
            <w:tcW w:w="1370" w:type="dxa"/>
            <w:tcBorders>
              <w:top w:val="nil"/>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工器具投入 （5分）</w:t>
            </w:r>
          </w:p>
        </w:tc>
        <w:tc>
          <w:tcPr>
            <w:tcW w:w="4665" w:type="dxa"/>
            <w:tcBorders>
              <w:top w:val="nil"/>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根据公司提供服务于项目的工器具清单及工具性能对项目的支撑、服务能力等进行综合打分，满分5分。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0" w:hRule="atLeast"/>
          <w:jc w:val="center"/>
        </w:trPr>
        <w:tc>
          <w:tcPr>
            <w:tcW w:w="1455"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szCs w:val="21"/>
              </w:rPr>
            </w:pPr>
            <w:r>
              <w:rPr>
                <w:szCs w:val="21"/>
              </w:rPr>
              <w:t>服务方案</w:t>
            </w:r>
            <w:r>
              <w:rPr>
                <w:szCs w:val="21"/>
              </w:rPr>
              <w:br w:type="textWrapping"/>
            </w:r>
            <w:r>
              <w:rPr>
                <w:szCs w:val="21"/>
              </w:rPr>
              <w:t>（40分）</w:t>
            </w:r>
          </w:p>
        </w:tc>
        <w:tc>
          <w:tcPr>
            <w:tcW w:w="131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szCs w:val="21"/>
              </w:rPr>
            </w:pPr>
            <w:r>
              <w:rPr>
                <w:szCs w:val="21"/>
              </w:rPr>
              <w:t>实施方案</w:t>
            </w:r>
            <w:r>
              <w:rPr>
                <w:szCs w:val="21"/>
              </w:rPr>
              <w:br w:type="textWrapping"/>
            </w:r>
            <w:r>
              <w:rPr>
                <w:szCs w:val="21"/>
              </w:rPr>
              <w:t>（35分）</w:t>
            </w:r>
          </w:p>
        </w:tc>
        <w:tc>
          <w:tcPr>
            <w:tcW w:w="137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项目理解（20分）</w:t>
            </w:r>
          </w:p>
        </w:tc>
        <w:tc>
          <w:tcPr>
            <w:tcW w:w="466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根据拓展方案的项目背景和现状的理解，针对项目的重点、难点分析、阐述深刻。评委进行综合对比打分，满分20分。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5" w:hRule="atLeast"/>
          <w:jc w:val="center"/>
        </w:trPr>
        <w:tc>
          <w:tcPr>
            <w:tcW w:w="145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szCs w:val="21"/>
              </w:rPr>
            </w:pPr>
          </w:p>
        </w:tc>
        <w:tc>
          <w:tcPr>
            <w:tcW w:w="131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szCs w:val="21"/>
              </w:rPr>
            </w:pPr>
          </w:p>
        </w:tc>
        <w:tc>
          <w:tcPr>
            <w:tcW w:w="137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质量控制（15分）</w:t>
            </w:r>
          </w:p>
        </w:tc>
        <w:tc>
          <w:tcPr>
            <w:tcW w:w="466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根据拓展方案的质量控制方案的完善性、合理性，评委进行综合对比打分，满分15分。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20" w:hRule="atLeast"/>
          <w:jc w:val="center"/>
        </w:trPr>
        <w:tc>
          <w:tcPr>
            <w:tcW w:w="145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szCs w:val="21"/>
              </w:rPr>
            </w:pPr>
          </w:p>
        </w:tc>
        <w:tc>
          <w:tcPr>
            <w:tcW w:w="131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服务承诺</w:t>
            </w:r>
            <w:r>
              <w:rPr>
                <w:szCs w:val="21"/>
              </w:rPr>
              <w:br w:type="textWrapping"/>
            </w:r>
            <w:r>
              <w:rPr>
                <w:szCs w:val="21"/>
              </w:rPr>
              <w:t>（5分）</w:t>
            </w:r>
          </w:p>
        </w:tc>
        <w:tc>
          <w:tcPr>
            <w:tcW w:w="137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额外服务承诺（5分）</w:t>
            </w:r>
          </w:p>
        </w:tc>
        <w:tc>
          <w:tcPr>
            <w:tcW w:w="466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根据服务承诺方案完善性、合理性（该项需单独说明，包括但不限于实施运维、人员专业培训等），评委进行综合对比打分，满分5分。</w:t>
            </w:r>
          </w:p>
        </w:tc>
      </w:tr>
    </w:tbl>
    <w:p>
      <w:pPr>
        <w:spacing w:line="360" w:lineRule="auto"/>
        <w:ind w:firstLine="420"/>
        <w:rPr>
          <w:sz w:val="24"/>
        </w:rPr>
      </w:pPr>
      <w:r>
        <w:rPr>
          <w:rFonts w:hint="eastAsia"/>
          <w:sz w:val="24"/>
        </w:rPr>
        <w:t>（3）</w:t>
      </w:r>
      <w:r>
        <w:rPr>
          <w:sz w:val="24"/>
        </w:rPr>
        <w:t>技术评分权重70%，价格分权重30%。</w:t>
      </w:r>
    </w:p>
    <w:p>
      <w:pPr>
        <w:spacing w:line="360" w:lineRule="auto"/>
        <w:ind w:firstLine="420"/>
        <w:rPr>
          <w:sz w:val="24"/>
        </w:rPr>
      </w:pPr>
      <w:r>
        <w:rPr>
          <w:rFonts w:hint="eastAsia"/>
          <w:sz w:val="24"/>
        </w:rPr>
        <w:t>（4）</w:t>
      </w:r>
      <w:r>
        <w:rPr>
          <w:sz w:val="24"/>
        </w:rPr>
        <w:t> 计分规则：</w:t>
      </w:r>
    </w:p>
    <w:p>
      <w:pPr>
        <w:spacing w:line="360" w:lineRule="auto"/>
        <w:ind w:firstLine="420"/>
        <w:rPr>
          <w:sz w:val="24"/>
        </w:rPr>
      </w:pPr>
      <w:r>
        <w:rPr>
          <w:sz w:val="24"/>
        </w:rPr>
        <w:t>应答方综合得分＝该应答方技术部分得分＋该应答方价格部分得分。</w:t>
      </w:r>
    </w:p>
    <w:p>
      <w:pPr>
        <w:spacing w:line="360" w:lineRule="auto"/>
        <w:ind w:firstLine="420"/>
        <w:rPr>
          <w:sz w:val="24"/>
        </w:rPr>
      </w:pPr>
      <w:r>
        <w:rPr>
          <w:sz w:val="24"/>
        </w:rPr>
        <w:t>应答方</w:t>
      </w:r>
      <w:r>
        <w:rPr>
          <w:rFonts w:hint="eastAsia"/>
          <w:sz w:val="24"/>
        </w:rPr>
        <w:t>招标</w:t>
      </w:r>
      <w:r>
        <w:rPr>
          <w:sz w:val="24"/>
        </w:rPr>
        <w:t>应答最终得分为各评委打分的平均分。</w:t>
      </w:r>
    </w:p>
    <w:p>
      <w:pPr>
        <w:spacing w:line="360" w:lineRule="auto"/>
        <w:ind w:firstLine="420"/>
        <w:rPr>
          <w:sz w:val="24"/>
        </w:rPr>
      </w:pPr>
      <w:r>
        <w:rPr>
          <w:sz w:val="24"/>
        </w:rPr>
        <w:t>推荐</w:t>
      </w:r>
      <w:r>
        <w:rPr>
          <w:rFonts w:hint="eastAsia"/>
          <w:sz w:val="24"/>
        </w:rPr>
        <w:t>招标</w:t>
      </w:r>
      <w:r>
        <w:rPr>
          <w:sz w:val="24"/>
        </w:rPr>
        <w:t>应答报价在限价范围内，最终得分中的综合得分最高分者为中选推荐单位。</w:t>
      </w:r>
    </w:p>
    <w:p>
      <w:pPr>
        <w:rPr>
          <w:sz w:val="24"/>
        </w:rPr>
      </w:pPr>
      <w:r>
        <w:rPr>
          <w:sz w:val="24"/>
        </w:rPr>
        <w:t> </w:t>
      </w:r>
    </w:p>
    <w:p>
      <w:pPr>
        <w:jc w:val="center"/>
        <w:rPr>
          <w:sz w:val="28"/>
          <w:szCs w:val="28"/>
        </w:rPr>
      </w:pPr>
      <w:r>
        <w:rPr>
          <w:sz w:val="28"/>
          <w:szCs w:val="28"/>
        </w:rPr>
        <w:t>第二章  项目需求</w:t>
      </w:r>
    </w:p>
    <w:p>
      <w:pPr>
        <w:spacing w:line="360" w:lineRule="auto"/>
        <w:ind w:firstLine="420"/>
        <w:rPr>
          <w:sz w:val="24"/>
        </w:rPr>
      </w:pPr>
      <w:r>
        <w:rPr>
          <w:sz w:val="24"/>
        </w:rPr>
        <w:t>应答方须对本章全部要求进行点对点应答。应答方须对每一项作出明确答复(如果需要，可给出详细的应答内容)，否则将可能被视为放弃应答。诸如“已知”、“理解”、“明白”或“同意”等这样非确切的答复是不可接受的。没有点对点应答，</w:t>
      </w:r>
      <w:r>
        <w:rPr>
          <w:rFonts w:hint="eastAsia"/>
          <w:sz w:val="24"/>
        </w:rPr>
        <w:t>招标</w:t>
      </w:r>
      <w:r>
        <w:rPr>
          <w:sz w:val="24"/>
        </w:rPr>
        <w:t>小组可能作出不利于合作商的评审。</w:t>
      </w:r>
    </w:p>
    <w:p>
      <w:pPr>
        <w:spacing w:line="360" w:lineRule="auto"/>
        <w:ind w:firstLine="420"/>
        <w:rPr>
          <w:sz w:val="24"/>
        </w:rPr>
      </w:pPr>
      <w:r>
        <w:rPr>
          <w:sz w:val="24"/>
        </w:rPr>
        <w:t>如项目需求文件书中所列指标有具体要求、参数或指标要求的，应答文件中除回答“满足”或“不满足”外，还须列出具体要求、参数或指标。</w:t>
      </w:r>
    </w:p>
    <w:p>
      <w:pPr>
        <w:spacing w:line="360" w:lineRule="auto"/>
        <w:ind w:firstLine="420"/>
        <w:rPr>
          <w:sz w:val="24"/>
        </w:rPr>
      </w:pPr>
      <w:r>
        <w:rPr>
          <w:sz w:val="24"/>
        </w:rPr>
        <w:t>注：★为不可偏离项。</w:t>
      </w:r>
    </w:p>
    <w:p>
      <w:pPr>
        <w:spacing w:line="360" w:lineRule="auto"/>
        <w:rPr>
          <w:sz w:val="24"/>
        </w:rPr>
      </w:pPr>
      <w:r>
        <w:rPr>
          <w:sz w:val="24"/>
        </w:rPr>
        <w:t>★一、能力要求</w:t>
      </w:r>
    </w:p>
    <w:p>
      <w:pPr>
        <w:spacing w:line="360" w:lineRule="auto"/>
        <w:ind w:firstLine="420"/>
        <w:rPr>
          <w:sz w:val="24"/>
        </w:rPr>
      </w:pPr>
      <w:r>
        <w:rPr>
          <w:sz w:val="24"/>
        </w:rPr>
        <w:t>应答单位需提供</w:t>
      </w:r>
      <w:r>
        <w:rPr>
          <w:rFonts w:hint="eastAsia"/>
          <w:b/>
          <w:bCs/>
          <w:color w:val="FF0000"/>
          <w:sz w:val="24"/>
        </w:rPr>
        <w:t>行业终端通信服务</w:t>
      </w:r>
      <w:r>
        <w:rPr>
          <w:sz w:val="24"/>
        </w:rPr>
        <w:t>能力证明，如非自有能力则需提供外采合作协或承诺函，其中承诺函应承诺在本项目合同签署前提供与加速服务厂商的合作协议关键页或发票，格式自拟。否则应答做无效处理。</w:t>
      </w:r>
    </w:p>
    <w:p>
      <w:pPr>
        <w:rPr>
          <w:sz w:val="24"/>
        </w:rPr>
      </w:pPr>
      <w:r>
        <w:rPr>
          <w:sz w:val="24"/>
        </w:rPr>
        <w:t>★</w:t>
      </w:r>
      <w:r>
        <w:rPr>
          <w:rFonts w:hint="eastAsia"/>
          <w:sz w:val="24"/>
        </w:rPr>
        <w:t>二、</w:t>
      </w:r>
      <w:r>
        <w:rPr>
          <w:rFonts w:hint="eastAsia"/>
          <w:b/>
          <w:bCs/>
          <w:color w:val="FF0000"/>
          <w:sz w:val="24"/>
        </w:rPr>
        <w:t>行业终端通信服务包</w:t>
      </w:r>
      <w:r>
        <w:rPr>
          <w:sz w:val="24"/>
        </w:rPr>
        <w:t>内容</w:t>
      </w:r>
    </w:p>
    <w:p>
      <w:pPr>
        <w:ind w:firstLine="420"/>
        <w:rPr>
          <w:sz w:val="24"/>
        </w:rPr>
      </w:pPr>
      <w:r>
        <w:rPr>
          <w:rFonts w:hint="eastAsia"/>
          <w:sz w:val="24"/>
        </w:rPr>
        <w:t>1、</w:t>
      </w:r>
      <w:r>
        <w:rPr>
          <w:rFonts w:hint="eastAsia"/>
          <w:b/>
          <w:bCs/>
          <w:color w:val="FF0000"/>
          <w:sz w:val="24"/>
        </w:rPr>
        <w:t>快递智能网联一体机技术要求</w:t>
      </w:r>
    </w:p>
    <w:tbl>
      <w:tblPr>
        <w:tblStyle w:val="8"/>
        <w:tblW w:w="8563" w:type="dxa"/>
        <w:tblInd w:w="98" w:type="dxa"/>
        <w:tblLayout w:type="fixed"/>
        <w:tblCellMar>
          <w:top w:w="0" w:type="dxa"/>
          <w:left w:w="108" w:type="dxa"/>
          <w:bottom w:w="0" w:type="dxa"/>
          <w:right w:w="108" w:type="dxa"/>
        </w:tblCellMar>
      </w:tblPr>
      <w:tblGrid>
        <w:gridCol w:w="1293"/>
        <w:gridCol w:w="1510"/>
        <w:gridCol w:w="5760"/>
      </w:tblGrid>
      <w:tr>
        <w:tblPrEx>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BFBFBF"/>
          </w:tcPr>
          <w:p>
            <w:pPr>
              <w:jc w:val="center"/>
              <w:rPr>
                <w:rFonts w:ascii="宋体" w:hAnsi="宋体" w:eastAsia="宋体" w:cs="宋体"/>
                <w:b/>
                <w:bCs/>
              </w:rPr>
            </w:pPr>
            <w:r>
              <w:rPr>
                <w:rFonts w:hint="eastAsia" w:ascii="宋体" w:hAnsi="宋体" w:eastAsia="宋体" w:cs="宋体"/>
                <w:b/>
                <w:bCs/>
              </w:rPr>
              <w:t>分类</w:t>
            </w:r>
          </w:p>
        </w:tc>
        <w:tc>
          <w:tcPr>
            <w:tcW w:w="1510" w:type="dxa"/>
            <w:tcBorders>
              <w:top w:val="single" w:color="000000" w:sz="4" w:space="0"/>
              <w:left w:val="single" w:color="000000" w:sz="4" w:space="0"/>
              <w:bottom w:val="single" w:color="000000" w:sz="4" w:space="0"/>
              <w:right w:val="single" w:color="000000" w:sz="4" w:space="0"/>
            </w:tcBorders>
            <w:shd w:val="clear" w:color="auto" w:fill="BFBFBF"/>
          </w:tcPr>
          <w:p>
            <w:pPr>
              <w:jc w:val="center"/>
              <w:rPr>
                <w:rFonts w:ascii="宋体" w:hAnsi="宋体" w:eastAsia="宋体" w:cs="宋体"/>
                <w:b/>
                <w:bCs/>
              </w:rPr>
            </w:pPr>
            <w:r>
              <w:rPr>
                <w:rFonts w:hint="eastAsia" w:ascii="宋体" w:hAnsi="宋体" w:eastAsia="宋体" w:cs="宋体"/>
                <w:b/>
                <w:bCs/>
              </w:rPr>
              <w:t>细项</w:t>
            </w:r>
          </w:p>
        </w:tc>
        <w:tc>
          <w:tcPr>
            <w:tcW w:w="5760" w:type="dxa"/>
            <w:tcBorders>
              <w:top w:val="single" w:color="000000" w:sz="4" w:space="0"/>
              <w:left w:val="single" w:color="000000" w:sz="4" w:space="0"/>
              <w:bottom w:val="single" w:color="000000" w:sz="4" w:space="0"/>
              <w:right w:val="single" w:color="000000" w:sz="4" w:space="0"/>
            </w:tcBorders>
            <w:shd w:val="clear" w:color="auto" w:fill="BFBFBF"/>
          </w:tcPr>
          <w:p>
            <w:pPr>
              <w:jc w:val="center"/>
              <w:rPr>
                <w:rFonts w:ascii="宋体" w:hAnsi="宋体" w:eastAsia="宋体" w:cs="宋体"/>
                <w:b/>
                <w:bCs/>
              </w:rPr>
            </w:pPr>
            <w:r>
              <w:rPr>
                <w:rFonts w:hint="eastAsia" w:ascii="宋体" w:hAnsi="宋体" w:eastAsia="宋体" w:cs="宋体"/>
                <w:b/>
                <w:bCs/>
              </w:rPr>
              <w:t>规格</w:t>
            </w:r>
          </w:p>
        </w:tc>
      </w:tr>
      <w:tr>
        <w:tblPrEx>
          <w:tblCellMar>
            <w:top w:w="0" w:type="dxa"/>
            <w:left w:w="108" w:type="dxa"/>
            <w:bottom w:w="0" w:type="dxa"/>
            <w:right w:w="108" w:type="dxa"/>
          </w:tblCellMar>
        </w:tblPrEx>
        <w:trPr>
          <w:trHeight w:val="63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系统方案</w:t>
            </w: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支持系统</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Android 7.1</w:t>
            </w:r>
          </w:p>
        </w:tc>
      </w:tr>
      <w:tr>
        <w:tblPrEx>
          <w:tblCellMar>
            <w:top w:w="0" w:type="dxa"/>
            <w:left w:w="108" w:type="dxa"/>
            <w:bottom w:w="0" w:type="dxa"/>
            <w:right w:w="108" w:type="dxa"/>
          </w:tblCellMar>
        </w:tblPrEx>
        <w:trPr>
          <w:trHeight w:val="300" w:hRule="atLeast"/>
        </w:trPr>
        <w:tc>
          <w:tcPr>
            <w:tcW w:w="12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主要性能</w:t>
            </w:r>
          </w:p>
        </w:tc>
        <w:tc>
          <w:tcPr>
            <w:tcW w:w="1510" w:type="dxa"/>
            <w:tcBorders>
              <w:top w:val="single" w:color="000000" w:sz="4" w:space="0"/>
              <w:left w:val="single" w:color="000000" w:sz="4" w:space="0"/>
              <w:bottom w:val="single" w:color="000000" w:sz="4" w:space="0"/>
              <w:right w:val="single" w:color="000000" w:sz="4" w:space="0"/>
            </w:tcBorders>
            <w:shd w:val="clear" w:color="auto" w:fill="FFFFFF"/>
          </w:tcPr>
          <w:p>
            <w:pPr>
              <w:jc w:val="center"/>
              <w:rPr>
                <w:rFonts w:ascii="宋体" w:hAnsi="宋体" w:eastAsia="宋体" w:cs="宋体"/>
              </w:rPr>
            </w:pPr>
            <w:r>
              <w:rPr>
                <w:rFonts w:hint="eastAsia" w:ascii="宋体" w:hAnsi="宋体" w:eastAsia="宋体" w:cs="宋体"/>
              </w:rPr>
              <w:t>主板CPU</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tcPr>
          <w:p>
            <w:pPr>
              <w:rPr>
                <w:rFonts w:ascii="宋体" w:hAnsi="宋体" w:eastAsia="宋体" w:cs="宋体"/>
              </w:rPr>
            </w:pPr>
            <w:r>
              <w:rPr>
                <w:rFonts w:hint="eastAsia" w:ascii="宋体" w:hAnsi="宋体" w:eastAsia="宋体" w:cs="宋体"/>
              </w:rPr>
              <w:t>主板RK3399</w:t>
            </w:r>
          </w:p>
        </w:tc>
      </w:tr>
      <w:tr>
        <w:tblPrEx>
          <w:tblCellMar>
            <w:top w:w="0" w:type="dxa"/>
            <w:left w:w="108" w:type="dxa"/>
            <w:bottom w:w="0" w:type="dxa"/>
            <w:right w:w="108" w:type="dxa"/>
          </w:tblCellMar>
        </w:tblPrEx>
        <w:trPr>
          <w:trHeight w:val="300"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tcPr>
          <w:p>
            <w:pPr>
              <w:jc w:val="center"/>
              <w:rPr>
                <w:rFonts w:ascii="宋体" w:hAnsi="宋体" w:eastAsia="宋体" w:cs="宋体"/>
              </w:rPr>
            </w:pPr>
            <w:r>
              <w:rPr>
                <w:rFonts w:hint="eastAsia" w:ascii="宋体" w:hAnsi="宋体" w:eastAsia="宋体" w:cs="宋体"/>
              </w:rPr>
              <w:t>GPU</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tcPr>
          <w:p>
            <w:pPr>
              <w:rPr>
                <w:rFonts w:ascii="宋体" w:hAnsi="宋体" w:eastAsia="宋体" w:cs="宋体"/>
              </w:rPr>
            </w:pPr>
            <w:r>
              <w:rPr>
                <w:rFonts w:hint="eastAsia" w:ascii="宋体" w:hAnsi="宋体" w:eastAsia="宋体" w:cs="宋体"/>
              </w:rPr>
              <w:t>四核ARM Mali-T860MP4高性能GPU</w:t>
            </w:r>
          </w:p>
        </w:tc>
      </w:tr>
      <w:tr>
        <w:tblPrEx>
          <w:tblCellMar>
            <w:top w:w="0" w:type="dxa"/>
            <w:left w:w="108" w:type="dxa"/>
            <w:bottom w:w="0" w:type="dxa"/>
            <w:right w:w="108" w:type="dxa"/>
          </w:tblCellMar>
        </w:tblPrEx>
        <w:trPr>
          <w:trHeight w:val="460"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RAM/ROM</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4G、16G</w:t>
            </w:r>
          </w:p>
        </w:tc>
      </w:tr>
      <w:tr>
        <w:tblPrEx>
          <w:tblCellMar>
            <w:top w:w="0" w:type="dxa"/>
            <w:left w:w="108" w:type="dxa"/>
            <w:bottom w:w="0" w:type="dxa"/>
            <w:right w:w="108" w:type="dxa"/>
          </w:tblCellMar>
        </w:tblPrEx>
        <w:trPr>
          <w:trHeight w:val="600"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WIFI</w:t>
            </w:r>
          </w:p>
        </w:tc>
        <w:tc>
          <w:tcPr>
            <w:tcW w:w="5760" w:type="dxa"/>
            <w:tcBorders>
              <w:top w:val="single" w:color="000000" w:sz="4" w:space="0"/>
              <w:left w:val="single" w:color="000000" w:sz="4" w:space="0"/>
              <w:bottom w:val="single" w:color="000000" w:sz="4" w:space="0"/>
              <w:right w:val="single" w:color="000000" w:sz="4" w:space="0"/>
            </w:tcBorders>
            <w:shd w:val="clear" w:color="auto" w:fill="FFFFFF"/>
          </w:tcPr>
          <w:p>
            <w:pPr>
              <w:rPr>
                <w:rFonts w:ascii="宋体" w:hAnsi="宋体" w:eastAsia="宋体" w:cs="宋体"/>
              </w:rPr>
            </w:pPr>
            <w:r>
              <w:rPr>
                <w:rFonts w:hint="eastAsia" w:ascii="宋体" w:hAnsi="宋体" w:eastAsia="宋体" w:cs="宋体"/>
              </w:rPr>
              <w:t>双频 WiFi，支持 802.11a/b/g/n/ac，支持 Wi-Fi 和蓝牙共存；</w:t>
            </w:r>
          </w:p>
        </w:tc>
      </w:tr>
      <w:tr>
        <w:tblPrEx>
          <w:tblCellMar>
            <w:top w:w="0" w:type="dxa"/>
            <w:left w:w="108" w:type="dxa"/>
            <w:bottom w:w="0" w:type="dxa"/>
            <w:right w:w="108" w:type="dxa"/>
          </w:tblCellMar>
        </w:tblPrEx>
        <w:trPr>
          <w:trHeight w:val="300" w:hRule="atLeast"/>
        </w:trPr>
        <w:tc>
          <w:tcPr>
            <w:tcW w:w="12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电源</w:t>
            </w:r>
          </w:p>
        </w:tc>
        <w:tc>
          <w:tcPr>
            <w:tcW w:w="1510" w:type="dxa"/>
            <w:tcBorders>
              <w:top w:val="single" w:color="000000" w:sz="4" w:space="0"/>
              <w:left w:val="single" w:color="000000" w:sz="4" w:space="0"/>
              <w:bottom w:val="single" w:color="000000" w:sz="4" w:space="0"/>
              <w:right w:val="single" w:color="000000" w:sz="4" w:space="0"/>
            </w:tcBorders>
            <w:shd w:val="clear" w:color="auto" w:fill="FFFFFF"/>
          </w:tcPr>
          <w:p>
            <w:pPr>
              <w:jc w:val="center"/>
              <w:rPr>
                <w:rFonts w:ascii="宋体" w:hAnsi="宋体" w:eastAsia="宋体" w:cs="宋体"/>
              </w:rPr>
            </w:pPr>
            <w:r>
              <w:rPr>
                <w:rFonts w:hint="eastAsia" w:ascii="宋体" w:hAnsi="宋体" w:eastAsia="宋体" w:cs="宋体"/>
              </w:rPr>
              <w:t>供电</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tcPr>
          <w:p>
            <w:pPr>
              <w:rPr>
                <w:rFonts w:ascii="宋体" w:hAnsi="宋体" w:eastAsia="宋体" w:cs="宋体"/>
              </w:rPr>
            </w:pPr>
            <w:r>
              <w:rPr>
                <w:rFonts w:hint="eastAsia" w:ascii="宋体" w:hAnsi="宋体" w:eastAsia="宋体" w:cs="宋体"/>
              </w:rPr>
              <w:t>DC12V 5A</w:t>
            </w:r>
          </w:p>
        </w:tc>
      </w:tr>
      <w:tr>
        <w:tblPrEx>
          <w:tblCellMar>
            <w:top w:w="0" w:type="dxa"/>
            <w:left w:w="108" w:type="dxa"/>
            <w:bottom w:w="0" w:type="dxa"/>
            <w:right w:w="108" w:type="dxa"/>
          </w:tblCellMar>
        </w:tblPrEx>
        <w:trPr>
          <w:trHeight w:val="330"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tcPr>
          <w:p>
            <w:pPr>
              <w:jc w:val="center"/>
              <w:rPr>
                <w:rFonts w:ascii="宋体" w:hAnsi="宋体" w:eastAsia="宋体" w:cs="宋体"/>
              </w:rPr>
            </w:pPr>
            <w:r>
              <w:rPr>
                <w:rFonts w:hint="eastAsia" w:ascii="宋体" w:hAnsi="宋体" w:eastAsia="宋体" w:cs="宋体"/>
              </w:rPr>
              <w:t>功率</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tcPr>
          <w:p>
            <w:pPr>
              <w:rPr>
                <w:rFonts w:ascii="宋体" w:hAnsi="宋体" w:eastAsia="宋体" w:cs="宋体"/>
              </w:rPr>
            </w:pPr>
            <w:r>
              <w:rPr>
                <w:rFonts w:hint="eastAsia" w:ascii="宋体" w:hAnsi="宋体" w:eastAsia="宋体" w:cs="宋体"/>
              </w:rPr>
              <w:t>&lt;45W</w:t>
            </w:r>
          </w:p>
        </w:tc>
      </w:tr>
      <w:tr>
        <w:tblPrEx>
          <w:tblCellMar>
            <w:top w:w="0" w:type="dxa"/>
            <w:left w:w="108" w:type="dxa"/>
            <w:bottom w:w="0" w:type="dxa"/>
            <w:right w:w="108" w:type="dxa"/>
          </w:tblCellMar>
        </w:tblPrEx>
        <w:trPr>
          <w:trHeight w:val="300" w:hRule="atLeast"/>
        </w:trPr>
        <w:tc>
          <w:tcPr>
            <w:tcW w:w="12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结构</w:t>
            </w:r>
          </w:p>
        </w:tc>
        <w:tc>
          <w:tcPr>
            <w:tcW w:w="1510" w:type="dxa"/>
            <w:tcBorders>
              <w:top w:val="single" w:color="000000" w:sz="4" w:space="0"/>
              <w:left w:val="single" w:color="000000" w:sz="4" w:space="0"/>
              <w:bottom w:val="single" w:color="000000" w:sz="4" w:space="0"/>
              <w:right w:val="single" w:color="000000" w:sz="4" w:space="0"/>
            </w:tcBorders>
            <w:shd w:val="clear" w:color="auto" w:fill="FFFFFF"/>
          </w:tcPr>
          <w:p>
            <w:pPr>
              <w:jc w:val="center"/>
              <w:rPr>
                <w:rFonts w:ascii="宋体" w:hAnsi="宋体" w:eastAsia="宋体" w:cs="宋体"/>
              </w:rPr>
            </w:pPr>
            <w:r>
              <w:rPr>
                <w:rFonts w:hint="eastAsia" w:ascii="宋体" w:hAnsi="宋体" w:eastAsia="宋体" w:cs="宋体"/>
              </w:rPr>
              <w:t>尺寸</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tcPr>
          <w:p>
            <w:pPr>
              <w:rPr>
                <w:rFonts w:ascii="宋体" w:hAnsi="宋体" w:eastAsia="宋体" w:cs="宋体"/>
              </w:rPr>
            </w:pPr>
            <w:r>
              <w:rPr>
                <w:rFonts w:hint="eastAsia" w:ascii="宋体" w:hAnsi="宋体" w:eastAsia="宋体" w:cs="宋体"/>
              </w:rPr>
              <w:t>570*500*905mm（长*宽*高）</w:t>
            </w:r>
          </w:p>
        </w:tc>
      </w:tr>
      <w:tr>
        <w:tblPrEx>
          <w:tblCellMar>
            <w:top w:w="0" w:type="dxa"/>
            <w:left w:w="108" w:type="dxa"/>
            <w:bottom w:w="0" w:type="dxa"/>
            <w:right w:w="108" w:type="dxa"/>
          </w:tblCellMar>
        </w:tblPrEx>
        <w:trPr>
          <w:trHeight w:val="330"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tcPr>
          <w:p>
            <w:pPr>
              <w:jc w:val="center"/>
              <w:rPr>
                <w:rFonts w:ascii="宋体" w:hAnsi="宋体" w:eastAsia="宋体" w:cs="宋体"/>
              </w:rPr>
            </w:pPr>
            <w:r>
              <w:rPr>
                <w:rFonts w:hint="eastAsia" w:ascii="宋体" w:hAnsi="宋体" w:eastAsia="宋体" w:cs="宋体"/>
              </w:rPr>
              <w:t>重量</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tcPr>
          <w:p>
            <w:pPr>
              <w:rPr>
                <w:rFonts w:ascii="宋体" w:hAnsi="宋体" w:eastAsia="宋体" w:cs="宋体"/>
              </w:rPr>
            </w:pPr>
            <w:r>
              <w:rPr>
                <w:rFonts w:hint="eastAsia" w:ascii="宋体" w:hAnsi="宋体" w:eastAsia="宋体" w:cs="宋体"/>
              </w:rPr>
              <w:t>约15KG</w:t>
            </w:r>
          </w:p>
        </w:tc>
      </w:tr>
      <w:tr>
        <w:tblPrEx>
          <w:tblCellMar>
            <w:top w:w="0" w:type="dxa"/>
            <w:left w:w="108" w:type="dxa"/>
            <w:bottom w:w="0" w:type="dxa"/>
            <w:right w:w="108" w:type="dxa"/>
          </w:tblCellMar>
        </w:tblPrEx>
        <w:trPr>
          <w:trHeight w:val="300" w:hRule="atLeast"/>
        </w:trPr>
        <w:tc>
          <w:tcPr>
            <w:tcW w:w="12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工作环境</w:t>
            </w:r>
          </w:p>
        </w:tc>
        <w:tc>
          <w:tcPr>
            <w:tcW w:w="1510" w:type="dxa"/>
            <w:tcBorders>
              <w:top w:val="single" w:color="000000" w:sz="4" w:space="0"/>
              <w:left w:val="single" w:color="000000" w:sz="4" w:space="0"/>
              <w:bottom w:val="single" w:color="000000" w:sz="4" w:space="0"/>
              <w:right w:val="single" w:color="000000" w:sz="4" w:space="0"/>
            </w:tcBorders>
            <w:shd w:val="clear" w:color="auto" w:fill="FFFFFF"/>
          </w:tcPr>
          <w:p>
            <w:pPr>
              <w:jc w:val="center"/>
              <w:rPr>
                <w:rFonts w:ascii="宋体" w:hAnsi="宋体" w:eastAsia="宋体" w:cs="宋体"/>
              </w:rPr>
            </w:pPr>
            <w:r>
              <w:rPr>
                <w:rFonts w:hint="eastAsia" w:ascii="宋体" w:hAnsi="宋体" w:eastAsia="宋体" w:cs="宋体"/>
              </w:rPr>
              <w:t>温度</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工作温度 0~45℃，储藏温度-30~70℃</w:t>
            </w:r>
          </w:p>
        </w:tc>
      </w:tr>
      <w:tr>
        <w:tblPrEx>
          <w:tblCellMar>
            <w:top w:w="0" w:type="dxa"/>
            <w:left w:w="108" w:type="dxa"/>
            <w:bottom w:w="0" w:type="dxa"/>
            <w:right w:w="108" w:type="dxa"/>
          </w:tblCellMar>
        </w:tblPrEx>
        <w:trPr>
          <w:trHeight w:val="540"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湿度</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20%~80%RH 无冷凝</w:t>
            </w:r>
          </w:p>
        </w:tc>
      </w:tr>
      <w:tr>
        <w:tblPrEx>
          <w:tblCellMar>
            <w:top w:w="0" w:type="dxa"/>
            <w:left w:w="108" w:type="dxa"/>
            <w:bottom w:w="0" w:type="dxa"/>
            <w:right w:w="108" w:type="dxa"/>
          </w:tblCellMar>
        </w:tblPrEx>
        <w:trPr>
          <w:trHeight w:val="300" w:hRule="atLeast"/>
        </w:trPr>
        <w:tc>
          <w:tcPr>
            <w:tcW w:w="12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高拍仪</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高拍仪相机</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1200万工业摄像头</w:t>
            </w:r>
          </w:p>
        </w:tc>
      </w:tr>
      <w:tr>
        <w:tblPrEx>
          <w:tblCellMar>
            <w:top w:w="0" w:type="dxa"/>
            <w:left w:w="108" w:type="dxa"/>
            <w:bottom w:w="0" w:type="dxa"/>
            <w:right w:w="108" w:type="dxa"/>
          </w:tblCellMar>
        </w:tblPrEx>
        <w:trPr>
          <w:trHeight w:val="300"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传感器类型：CMOS，卷帘快门</w:t>
            </w:r>
          </w:p>
        </w:tc>
      </w:tr>
      <w:tr>
        <w:tblPrEx>
          <w:tblCellMar>
            <w:top w:w="0" w:type="dxa"/>
            <w:left w:w="108" w:type="dxa"/>
            <w:bottom w:w="0" w:type="dxa"/>
            <w:right w:w="108" w:type="dxa"/>
          </w:tblCellMar>
        </w:tblPrEx>
        <w:trPr>
          <w:trHeight w:val="300"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分辨率：3840×2160</w:t>
            </w:r>
          </w:p>
        </w:tc>
      </w:tr>
      <w:tr>
        <w:tblPrEx>
          <w:tblCellMar>
            <w:top w:w="0" w:type="dxa"/>
            <w:left w:w="108" w:type="dxa"/>
            <w:bottom w:w="0" w:type="dxa"/>
            <w:right w:w="108" w:type="dxa"/>
          </w:tblCellMar>
        </w:tblPrEx>
        <w:trPr>
          <w:trHeight w:val="400"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靶面尺寸：1/2”</w:t>
            </w:r>
          </w:p>
        </w:tc>
      </w:tr>
      <w:tr>
        <w:tblPrEx>
          <w:tblCellMar>
            <w:top w:w="0" w:type="dxa"/>
            <w:left w:w="108" w:type="dxa"/>
            <w:bottom w:w="0" w:type="dxa"/>
            <w:right w:w="108" w:type="dxa"/>
          </w:tblCellMar>
        </w:tblPrEx>
        <w:trPr>
          <w:trHeight w:val="300"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条码类别</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内置基于AI的条码识别功能</w:t>
            </w:r>
          </w:p>
        </w:tc>
      </w:tr>
      <w:tr>
        <w:tblPrEx>
          <w:tblCellMar>
            <w:top w:w="0" w:type="dxa"/>
            <w:left w:w="108" w:type="dxa"/>
            <w:bottom w:w="0" w:type="dxa"/>
            <w:right w:w="108" w:type="dxa"/>
          </w:tblCellMar>
        </w:tblPrEx>
        <w:trPr>
          <w:trHeight w:val="600"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一维码：Code 39，Code 93，Code 128，CodaBar，EAN，ITF25 等</w:t>
            </w:r>
          </w:p>
        </w:tc>
      </w:tr>
      <w:tr>
        <w:tblPrEx>
          <w:tblCellMar>
            <w:top w:w="0" w:type="dxa"/>
            <w:left w:w="108" w:type="dxa"/>
            <w:bottom w:w="0" w:type="dxa"/>
            <w:right w:w="108" w:type="dxa"/>
          </w:tblCellMar>
        </w:tblPrEx>
        <w:trPr>
          <w:trHeight w:val="300"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二维码：QR，DM等</w:t>
            </w:r>
          </w:p>
        </w:tc>
      </w:tr>
      <w:tr>
        <w:tblPrEx>
          <w:tblCellMar>
            <w:top w:w="0" w:type="dxa"/>
            <w:left w:w="108" w:type="dxa"/>
            <w:bottom w:w="0" w:type="dxa"/>
            <w:right w:w="108" w:type="dxa"/>
          </w:tblCellMar>
        </w:tblPrEx>
        <w:trPr>
          <w:trHeight w:val="300"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焦距</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12 mm</w:t>
            </w:r>
          </w:p>
        </w:tc>
      </w:tr>
      <w:tr>
        <w:tblPrEx>
          <w:tblCellMar>
            <w:top w:w="0" w:type="dxa"/>
            <w:left w:w="108" w:type="dxa"/>
            <w:bottom w:w="0" w:type="dxa"/>
            <w:right w:w="108" w:type="dxa"/>
          </w:tblCellMar>
        </w:tblPrEx>
        <w:trPr>
          <w:trHeight w:val="300"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最佳工作距离</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890 mm</w:t>
            </w:r>
          </w:p>
        </w:tc>
      </w:tr>
      <w:tr>
        <w:tblPrEx>
          <w:tblCellMar>
            <w:top w:w="0" w:type="dxa"/>
            <w:left w:w="108" w:type="dxa"/>
            <w:bottom w:w="0" w:type="dxa"/>
            <w:right w:w="108" w:type="dxa"/>
          </w:tblCellMar>
        </w:tblPrEx>
        <w:trPr>
          <w:trHeight w:val="300"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视野范围</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480 mm×260 mm</w:t>
            </w:r>
          </w:p>
        </w:tc>
      </w:tr>
      <w:tr>
        <w:tblPrEx>
          <w:tblCellMar>
            <w:top w:w="0" w:type="dxa"/>
            <w:left w:w="108" w:type="dxa"/>
            <w:bottom w:w="0" w:type="dxa"/>
            <w:right w:w="108" w:type="dxa"/>
          </w:tblCellMar>
        </w:tblPrEx>
        <w:trPr>
          <w:trHeight w:val="300"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景深</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420 mm@12 mil</w:t>
            </w:r>
          </w:p>
        </w:tc>
      </w:tr>
      <w:tr>
        <w:tblPrEx>
          <w:tblCellMar>
            <w:top w:w="0" w:type="dxa"/>
            <w:left w:w="108" w:type="dxa"/>
            <w:bottom w:w="0" w:type="dxa"/>
            <w:right w:w="108" w:type="dxa"/>
          </w:tblCellMar>
        </w:tblPrEx>
        <w:trPr>
          <w:trHeight w:val="460"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最大读码速度</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≥40件/min</w:t>
            </w:r>
          </w:p>
        </w:tc>
      </w:tr>
      <w:tr>
        <w:tblPrEx>
          <w:tblCellMar>
            <w:top w:w="0" w:type="dxa"/>
            <w:left w:w="108" w:type="dxa"/>
            <w:bottom w:w="0" w:type="dxa"/>
            <w:right w:w="108" w:type="dxa"/>
          </w:tblCellMar>
        </w:tblPrEx>
        <w:trPr>
          <w:trHeight w:val="300" w:hRule="atLeast"/>
        </w:trPr>
        <w:tc>
          <w:tcPr>
            <w:tcW w:w="12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摄像头</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人脸摄像机</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200 万宽动态人脸摄像机，识别画面清晰</w:t>
            </w:r>
          </w:p>
        </w:tc>
      </w:tr>
      <w:tr>
        <w:tblPrEx>
          <w:tblCellMar>
            <w:top w:w="0" w:type="dxa"/>
            <w:left w:w="108" w:type="dxa"/>
            <w:bottom w:w="0" w:type="dxa"/>
            <w:right w:w="108" w:type="dxa"/>
          </w:tblCellMar>
        </w:tblPrEx>
        <w:trPr>
          <w:trHeight w:val="300"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分辨率：1920×1080</w:t>
            </w:r>
          </w:p>
        </w:tc>
      </w:tr>
      <w:tr>
        <w:tblPrEx>
          <w:tblCellMar>
            <w:top w:w="0" w:type="dxa"/>
            <w:left w:w="108" w:type="dxa"/>
            <w:bottom w:w="0" w:type="dxa"/>
            <w:right w:w="108" w:type="dxa"/>
          </w:tblCellMar>
        </w:tblPrEx>
        <w:trPr>
          <w:trHeight w:val="420"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靶面尺寸：1/2.7”</w:t>
            </w:r>
          </w:p>
        </w:tc>
      </w:tr>
      <w:tr>
        <w:tblPrEx>
          <w:tblCellMar>
            <w:top w:w="0" w:type="dxa"/>
            <w:left w:w="108" w:type="dxa"/>
            <w:bottom w:w="0" w:type="dxa"/>
            <w:right w:w="108" w:type="dxa"/>
          </w:tblCellMar>
        </w:tblPrEx>
        <w:trPr>
          <w:trHeight w:val="300" w:hRule="atLeast"/>
        </w:trPr>
        <w:tc>
          <w:tcPr>
            <w:tcW w:w="12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显示屏</w:t>
            </w: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显示屏</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10.1寸显示屏触摸一体</w:t>
            </w:r>
          </w:p>
        </w:tc>
      </w:tr>
      <w:tr>
        <w:tblPrEx>
          <w:tblCellMar>
            <w:top w:w="0" w:type="dxa"/>
            <w:left w:w="108" w:type="dxa"/>
            <w:bottom w:w="0" w:type="dxa"/>
            <w:right w:w="108" w:type="dxa"/>
          </w:tblCellMar>
        </w:tblPrEx>
        <w:trPr>
          <w:trHeight w:val="400"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分辨率</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1280*800</w:t>
            </w:r>
          </w:p>
        </w:tc>
      </w:tr>
      <w:tr>
        <w:tblPrEx>
          <w:tblCellMar>
            <w:top w:w="0" w:type="dxa"/>
            <w:left w:w="108" w:type="dxa"/>
            <w:bottom w:w="0" w:type="dxa"/>
            <w:right w:w="108" w:type="dxa"/>
          </w:tblCellMar>
        </w:tblPrEx>
        <w:trPr>
          <w:trHeight w:val="300" w:hRule="atLeast"/>
        </w:trPr>
        <w:tc>
          <w:tcPr>
            <w:tcW w:w="12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称重计</w:t>
            </w: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称重系统</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高精度数字传感器，精度5g</w:t>
            </w:r>
          </w:p>
        </w:tc>
      </w:tr>
      <w:tr>
        <w:tblPrEx>
          <w:tblCellMar>
            <w:top w:w="0" w:type="dxa"/>
            <w:left w:w="108" w:type="dxa"/>
            <w:bottom w:w="0" w:type="dxa"/>
            <w:right w:w="108" w:type="dxa"/>
          </w:tblCellMar>
        </w:tblPrEx>
        <w:trPr>
          <w:trHeight w:val="300"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称重性能</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分度值5/10g，最大量程40kg</w:t>
            </w:r>
          </w:p>
        </w:tc>
      </w:tr>
      <w:tr>
        <w:tblPrEx>
          <w:tblCellMar>
            <w:top w:w="0" w:type="dxa"/>
            <w:left w:w="108" w:type="dxa"/>
            <w:bottom w:w="0" w:type="dxa"/>
            <w:right w:w="108" w:type="dxa"/>
          </w:tblCellMar>
        </w:tblPrEx>
        <w:trPr>
          <w:trHeight w:val="520"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1510" w:type="dxa"/>
            <w:tcBorders>
              <w:top w:val="nil"/>
              <w:left w:val="single" w:color="000000" w:sz="4" w:space="0"/>
              <w:bottom w:val="nil"/>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功能要求</w:t>
            </w:r>
          </w:p>
        </w:tc>
        <w:tc>
          <w:tcPr>
            <w:tcW w:w="5760" w:type="dxa"/>
            <w:tcBorders>
              <w:top w:val="nil"/>
              <w:left w:val="single" w:color="000000" w:sz="4" w:space="0"/>
              <w:bottom w:val="nil"/>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提供去皮、置零、重量稳定值功能</w:t>
            </w:r>
          </w:p>
        </w:tc>
      </w:tr>
      <w:tr>
        <w:tblPrEx>
          <w:tblCellMar>
            <w:top w:w="0" w:type="dxa"/>
            <w:left w:w="108" w:type="dxa"/>
            <w:bottom w:w="0" w:type="dxa"/>
            <w:right w:w="108" w:type="dxa"/>
          </w:tblCellMar>
        </w:tblPrEx>
        <w:trPr>
          <w:trHeight w:val="312" w:hRule="atLeast"/>
        </w:trPr>
        <w:tc>
          <w:tcPr>
            <w:tcW w:w="12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通信</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WI-FI</w:t>
            </w:r>
          </w:p>
        </w:tc>
        <w:tc>
          <w:tcPr>
            <w:tcW w:w="576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双频 WiFi，支持 802.11a/b/g/n/ac，支持 Wi-Fi 和蓝牙共存；</w:t>
            </w:r>
          </w:p>
        </w:tc>
      </w:tr>
      <w:tr>
        <w:tblPrEx>
          <w:tblCellMar>
            <w:top w:w="0" w:type="dxa"/>
            <w:left w:w="108" w:type="dxa"/>
            <w:bottom w:w="0" w:type="dxa"/>
            <w:right w:w="108" w:type="dxa"/>
          </w:tblCellMar>
        </w:tblPrEx>
        <w:trPr>
          <w:trHeight w:val="312"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57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p>
        </w:tc>
      </w:tr>
      <w:tr>
        <w:tblPrEx>
          <w:tblCellMar>
            <w:top w:w="0" w:type="dxa"/>
            <w:left w:w="108" w:type="dxa"/>
            <w:bottom w:w="0" w:type="dxa"/>
            <w:right w:w="108" w:type="dxa"/>
          </w:tblCellMar>
        </w:tblPrEx>
        <w:trPr>
          <w:trHeight w:val="600"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蓝牙</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Bluetooth 4.1，操作系统通过蓝牙能控制彩色热敏打印机；</w:t>
            </w:r>
          </w:p>
        </w:tc>
      </w:tr>
      <w:tr>
        <w:tblPrEx>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补光灯</w:t>
            </w: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LED</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暗光、弱光环境，提供灯光</w:t>
            </w:r>
          </w:p>
        </w:tc>
      </w:tr>
      <w:tr>
        <w:tblPrEx>
          <w:tblCellMar>
            <w:top w:w="0" w:type="dxa"/>
            <w:left w:w="108" w:type="dxa"/>
            <w:bottom w:w="0" w:type="dxa"/>
            <w:right w:w="108" w:type="dxa"/>
          </w:tblCellMar>
        </w:tblPrEx>
        <w:trPr>
          <w:trHeight w:val="54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身份证识别</w:t>
            </w: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NFC</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支持标准ISO14443 TypeB协议，实现二代身份证数据读取功能</w:t>
            </w:r>
          </w:p>
        </w:tc>
      </w:tr>
      <w:tr>
        <w:tblPrEx>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机体外部接口</w:t>
            </w:r>
          </w:p>
        </w:tc>
        <w:tc>
          <w:tcPr>
            <w:tcW w:w="72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rPr>
            </w:pPr>
            <w:r>
              <w:rPr>
                <w:rFonts w:hint="eastAsia" w:ascii="宋体" w:hAnsi="宋体" w:eastAsia="宋体" w:cs="宋体"/>
              </w:rPr>
              <w:t>USB 2.0 接口1个以上，RS-485 接口1个，SIM卡槽</w:t>
            </w:r>
          </w:p>
        </w:tc>
      </w:tr>
    </w:tbl>
    <w:p>
      <w:pPr>
        <w:numPr>
          <w:ilvl w:val="0"/>
          <w:numId w:val="1"/>
        </w:numPr>
        <w:spacing w:line="360" w:lineRule="auto"/>
        <w:ind w:firstLine="420"/>
        <w:rPr>
          <w:b/>
          <w:bCs/>
          <w:color w:val="FF0000"/>
          <w:sz w:val="24"/>
        </w:rPr>
      </w:pPr>
      <w:r>
        <w:rPr>
          <w:rFonts w:hint="eastAsia"/>
          <w:b/>
          <w:bCs/>
          <w:color w:val="FF0000"/>
          <w:sz w:val="24"/>
        </w:rPr>
        <w:t>物联网卡10G。</w:t>
      </w:r>
    </w:p>
    <w:p>
      <w:pPr>
        <w:numPr>
          <w:ilvl w:val="0"/>
          <w:numId w:val="1"/>
        </w:numPr>
        <w:spacing w:line="360" w:lineRule="auto"/>
        <w:ind w:firstLine="420"/>
        <w:rPr>
          <w:sz w:val="24"/>
        </w:rPr>
      </w:pPr>
      <w:r>
        <w:rPr>
          <w:rFonts w:hint="eastAsia"/>
          <w:b/>
          <w:bCs/>
          <w:color w:val="FF0000"/>
          <w:sz w:val="24"/>
        </w:rPr>
        <w:t>语音专线3000分钟。</w:t>
      </w:r>
    </w:p>
    <w:p>
      <w:pPr>
        <w:numPr>
          <w:ilvl w:val="0"/>
          <w:numId w:val="1"/>
        </w:numPr>
        <w:spacing w:line="360" w:lineRule="auto"/>
        <w:ind w:firstLine="420"/>
        <w:rPr>
          <w:sz w:val="24"/>
        </w:rPr>
      </w:pPr>
      <w:r>
        <w:rPr>
          <w:rFonts w:hint="eastAsia"/>
          <w:b/>
          <w:bCs/>
          <w:color w:val="FF0000"/>
          <w:sz w:val="24"/>
        </w:rPr>
        <w:t>短信500条</w:t>
      </w:r>
    </w:p>
    <w:p>
      <w:pPr>
        <w:spacing w:line="360" w:lineRule="auto"/>
        <w:ind w:firstLine="420"/>
        <w:rPr>
          <w:sz w:val="24"/>
        </w:rPr>
      </w:pPr>
      <w:r>
        <w:rPr>
          <w:rFonts w:hint="eastAsia"/>
          <w:sz w:val="24"/>
        </w:rPr>
        <w:t>5、售后</w:t>
      </w:r>
      <w:r>
        <w:rPr>
          <w:sz w:val="24"/>
        </w:rPr>
        <w:t>要求</w:t>
      </w:r>
    </w:p>
    <w:p>
      <w:pPr>
        <w:spacing w:line="360" w:lineRule="auto"/>
        <w:ind w:firstLine="420"/>
        <w:rPr>
          <w:sz w:val="24"/>
        </w:rPr>
      </w:pPr>
      <w:r>
        <w:rPr>
          <w:sz w:val="24"/>
        </w:rPr>
        <w:t>1）提供完善的售后服务并提供在线客服或服务热线，确保能够及时响应信息服务出现的问题，故障处理要求能够在10分钟内作出响应，紧急的基础运维问题30分钟内解决或提出应急策略，重大问题1小时内解决，一般问题2小时内解决；</w:t>
      </w:r>
    </w:p>
    <w:p>
      <w:pPr>
        <w:spacing w:line="360" w:lineRule="auto"/>
        <w:ind w:firstLine="420"/>
        <w:rPr>
          <w:sz w:val="24"/>
        </w:rPr>
      </w:pPr>
      <w:r>
        <w:rPr>
          <w:sz w:val="24"/>
        </w:rPr>
        <w:t>2）设立专门的服务咨询岗位，提供免费的服务热线电话，接受系统故障保修、业务和技术咨询、服务投诉等。该服务咨询中心应该7×24小时全天候运行，应配备足够的咨询人员或技术工程师。在热线电话发生故障情况下，应提供其他备份的方便和迅速的联系方式；</w:t>
      </w:r>
    </w:p>
    <w:p>
      <w:pPr>
        <w:spacing w:line="360" w:lineRule="auto"/>
        <w:ind w:firstLine="420"/>
        <w:rPr>
          <w:sz w:val="24"/>
        </w:rPr>
      </w:pPr>
      <w:r>
        <w:rPr>
          <w:sz w:val="24"/>
        </w:rPr>
        <w:t>3）为了提高运维服务质量、响应时间，供应商需设立专门的运维服务团队，为运维系统提供软件维护（功能优化及bug 修复），系统巡检，上门技术指导服务；</w:t>
      </w:r>
    </w:p>
    <w:p>
      <w:pPr>
        <w:spacing w:line="360" w:lineRule="auto"/>
        <w:ind w:firstLine="420"/>
        <w:rPr>
          <w:sz w:val="24"/>
        </w:rPr>
      </w:pPr>
      <w:r>
        <w:rPr>
          <w:rFonts w:hint="eastAsia"/>
          <w:sz w:val="24"/>
        </w:rPr>
        <w:t>6、</w:t>
      </w:r>
      <w:r>
        <w:rPr>
          <w:sz w:val="24"/>
        </w:rPr>
        <w:t>交付期限</w:t>
      </w:r>
    </w:p>
    <w:p>
      <w:pPr>
        <w:spacing w:line="360" w:lineRule="auto"/>
        <w:ind w:firstLine="420"/>
        <w:rPr>
          <w:sz w:val="24"/>
        </w:rPr>
      </w:pPr>
      <w:r>
        <w:rPr>
          <w:sz w:val="24"/>
        </w:rPr>
        <w:t>合同签订后3天内完成账号及资源配置，计费周期从服务可用开始算起。</w:t>
      </w:r>
    </w:p>
    <w:p>
      <w:pPr>
        <w:spacing w:line="360" w:lineRule="auto"/>
        <w:rPr>
          <w:sz w:val="24"/>
        </w:rPr>
      </w:pPr>
      <w:r>
        <w:rPr>
          <w:sz w:val="24"/>
        </w:rPr>
        <w:t>三、验收要求</w:t>
      </w:r>
    </w:p>
    <w:p>
      <w:pPr>
        <w:spacing w:line="360" w:lineRule="auto"/>
        <w:ind w:firstLine="420"/>
        <w:rPr>
          <w:sz w:val="24"/>
        </w:rPr>
      </w:pPr>
      <w:r>
        <w:rPr>
          <w:sz w:val="24"/>
        </w:rPr>
        <w:t>中选合作商需配合甲方和最终客户的最终考核验收，并提交详细描述验收的组织和实施办法，测试方案，用户验收条件等。若项目质量不达标，且未按项目合同约条款实施，甲方将根据实际考核结果结算实际发生的费用。对中选合作商的验收需在甲方通过最终客户的验收后启动。</w:t>
      </w:r>
    </w:p>
    <w:p>
      <w:pPr>
        <w:spacing w:line="360" w:lineRule="auto"/>
        <w:rPr>
          <w:sz w:val="24"/>
        </w:rPr>
      </w:pPr>
      <w:r>
        <w:rPr>
          <w:sz w:val="24"/>
        </w:rPr>
        <w:t>四、付款方式</w:t>
      </w:r>
    </w:p>
    <w:p>
      <w:pPr>
        <w:spacing w:line="360" w:lineRule="auto"/>
        <w:ind w:firstLine="420"/>
        <w:rPr>
          <w:sz w:val="24"/>
        </w:rPr>
      </w:pPr>
      <w:r>
        <w:rPr>
          <w:sz w:val="24"/>
        </w:rPr>
        <w:t>根据每月实际使用量进行交付验收 </w:t>
      </w:r>
    </w:p>
    <w:p>
      <w:pPr>
        <w:spacing w:line="360" w:lineRule="auto"/>
        <w:rPr>
          <w:sz w:val="24"/>
        </w:rPr>
      </w:pPr>
      <w:r>
        <w:rPr>
          <w:rFonts w:hint="eastAsia"/>
          <w:sz w:val="24"/>
        </w:rPr>
        <w:t>五</w:t>
      </w:r>
      <w:r>
        <w:rPr>
          <w:sz w:val="24"/>
        </w:rPr>
        <w:t>、额外服务承诺</w:t>
      </w:r>
    </w:p>
    <w:p>
      <w:pPr>
        <w:spacing w:line="360" w:lineRule="auto"/>
        <w:ind w:firstLine="420"/>
        <w:rPr>
          <w:sz w:val="24"/>
        </w:rPr>
      </w:pPr>
      <w:r>
        <w:rPr>
          <w:sz w:val="24"/>
        </w:rPr>
        <w:t>应答方可根据本项目内容与自身情况酌情提供额外服务承诺。</w:t>
      </w:r>
    </w:p>
    <w:p>
      <w:pPr>
        <w:spacing w:line="360" w:lineRule="auto"/>
        <w:rPr>
          <w:sz w:val="24"/>
        </w:rPr>
      </w:pPr>
      <w:r>
        <w:rPr>
          <w:rFonts w:hint="eastAsia"/>
          <w:sz w:val="24"/>
        </w:rPr>
        <w:t>六</w:t>
      </w:r>
      <w:r>
        <w:rPr>
          <w:sz w:val="24"/>
        </w:rPr>
        <w:t>、违约责任</w:t>
      </w:r>
    </w:p>
    <w:p>
      <w:pPr>
        <w:spacing w:line="360" w:lineRule="auto"/>
        <w:ind w:firstLine="420"/>
        <w:rPr>
          <w:sz w:val="24"/>
        </w:rPr>
      </w:pPr>
      <w:r>
        <w:rPr>
          <w:sz w:val="24"/>
        </w:rPr>
        <w:t>以双方签订的《送悦科技乡村物流配送体系建设项目（</w:t>
      </w:r>
      <w:r>
        <w:rPr>
          <w:rFonts w:hint="eastAsia"/>
          <w:sz w:val="24"/>
          <w:lang w:val="en-US" w:eastAsia="zh-CN"/>
        </w:rPr>
        <w:t>二</w:t>
      </w:r>
      <w:bookmarkStart w:id="0" w:name="_GoBack"/>
      <w:bookmarkEnd w:id="0"/>
      <w:r>
        <w:rPr>
          <w:sz w:val="24"/>
        </w:rPr>
        <w:t>期）</w:t>
      </w:r>
      <w:r>
        <w:rPr>
          <w:rFonts w:hint="eastAsia"/>
          <w:sz w:val="24"/>
        </w:rPr>
        <w:t>合作框架协议</w:t>
      </w:r>
      <w:r>
        <w:rPr>
          <w:sz w:val="24"/>
        </w:rPr>
        <w:t>》及本项目最终签订的实施合同的相关违约责任条款为准。</w:t>
      </w:r>
    </w:p>
    <w:p>
      <w:pPr>
        <w:spacing w:line="360" w:lineRule="auto"/>
        <w:rPr>
          <w:sz w:val="24"/>
        </w:rPr>
      </w:pPr>
      <w:r>
        <w:rPr>
          <w:rFonts w:hint="eastAsia"/>
          <w:sz w:val="24"/>
        </w:rPr>
        <w:t>七</w:t>
      </w:r>
      <w:r>
        <w:rPr>
          <w:sz w:val="24"/>
        </w:rPr>
        <w:t>、其他要求</w:t>
      </w:r>
    </w:p>
    <w:p>
      <w:pPr>
        <w:spacing w:line="360" w:lineRule="auto"/>
        <w:ind w:firstLine="420"/>
        <w:rPr>
          <w:sz w:val="24"/>
        </w:rPr>
      </w:pPr>
      <w:r>
        <w:rPr>
          <w:sz w:val="24"/>
        </w:rPr>
        <w:t>甲乙双方原则上以“框架合同+订单合同”形式签约。项目对应一个框架合同，在项目启动前签订。框架合同金额仅作为我司本项目执行金额的上限，甲方不保证在约定期限内实际采购的服务金额（下达订单的总采购量）一定达合同金额上限，实际采购金额未达框架合同金额甲方不承担任何法律责任。订单合同以自然年划分，每年年初签订当年订单，订单签订完成后才能开展当年项目实施/服务工作，项目实施以当年订单实际成功签署为准，若订单无法签订，则项目服务立即终止。</w:t>
      </w:r>
    </w:p>
    <w:p>
      <w:pPr>
        <w:spacing w:line="360" w:lineRule="auto"/>
        <w:ind w:firstLine="420"/>
        <w:rPr>
          <w:sz w:val="24"/>
        </w:rPr>
      </w:pPr>
      <w:r>
        <w:rPr>
          <w:sz w:val="24"/>
        </w:rPr>
        <w:t>项目采用“背靠背”付款原则，甲方在收到最终客户当期付款的前提下，根据项目实际履约进度及使用情况结算当期合同款项。</w:t>
      </w:r>
    </w:p>
    <w:p>
      <w:pPr>
        <w:spacing w:line="360" w:lineRule="auto"/>
        <w:ind w:firstLine="420"/>
        <w:rPr>
          <w:sz w:val="24"/>
        </w:rPr>
      </w:pPr>
      <w:r>
        <w:rPr>
          <w:sz w:val="24"/>
        </w:rPr>
        <w:t>本项目金额与我司前向业务中标金额挂钩，如我司前向业务中标金额降低，中选合作商需同比例调低报价金额。</w:t>
      </w:r>
    </w:p>
    <w:p>
      <w:pPr>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2989D2"/>
    <w:multiLevelType w:val="singleLevel"/>
    <w:tmpl w:val="252989D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4NDBkMTEwYTI3OTg3NzExYzc0ZGY2YjZiYmZiNzYifQ=="/>
  </w:docVars>
  <w:rsids>
    <w:rsidRoot w:val="00E25D52"/>
    <w:rsid w:val="0077012C"/>
    <w:rsid w:val="00C82550"/>
    <w:rsid w:val="00E25D52"/>
    <w:rsid w:val="00F45F2D"/>
    <w:rsid w:val="01152ABB"/>
    <w:rsid w:val="07575300"/>
    <w:rsid w:val="0985404C"/>
    <w:rsid w:val="0A8729A8"/>
    <w:rsid w:val="0BE5207C"/>
    <w:rsid w:val="0C732522"/>
    <w:rsid w:val="0E46496B"/>
    <w:rsid w:val="0F331350"/>
    <w:rsid w:val="106B4B1A"/>
    <w:rsid w:val="129F2667"/>
    <w:rsid w:val="16A32964"/>
    <w:rsid w:val="17664476"/>
    <w:rsid w:val="17885FB1"/>
    <w:rsid w:val="1EFB46DC"/>
    <w:rsid w:val="1F3D1B10"/>
    <w:rsid w:val="1F9951FF"/>
    <w:rsid w:val="2426052F"/>
    <w:rsid w:val="29EB6668"/>
    <w:rsid w:val="2DFB0E33"/>
    <w:rsid w:val="316A07AA"/>
    <w:rsid w:val="31B47CBA"/>
    <w:rsid w:val="33D22EF4"/>
    <w:rsid w:val="3A0B1BA7"/>
    <w:rsid w:val="3B0D7E25"/>
    <w:rsid w:val="3B5B5607"/>
    <w:rsid w:val="3BE15B0C"/>
    <w:rsid w:val="3CD107AD"/>
    <w:rsid w:val="3EE17BD1"/>
    <w:rsid w:val="413E2323"/>
    <w:rsid w:val="41D13F2D"/>
    <w:rsid w:val="4229627D"/>
    <w:rsid w:val="474500FE"/>
    <w:rsid w:val="47B05F6F"/>
    <w:rsid w:val="47C84518"/>
    <w:rsid w:val="48C75E74"/>
    <w:rsid w:val="49BE79B4"/>
    <w:rsid w:val="49F30BFD"/>
    <w:rsid w:val="4A965D14"/>
    <w:rsid w:val="4CA0731E"/>
    <w:rsid w:val="4DDA060D"/>
    <w:rsid w:val="4F23530B"/>
    <w:rsid w:val="58247055"/>
    <w:rsid w:val="58871392"/>
    <w:rsid w:val="59064B56"/>
    <w:rsid w:val="59B937CD"/>
    <w:rsid w:val="5F8E5468"/>
    <w:rsid w:val="61465BB0"/>
    <w:rsid w:val="684479D5"/>
    <w:rsid w:val="6856216C"/>
    <w:rsid w:val="69E01DB2"/>
    <w:rsid w:val="6AC65D4A"/>
    <w:rsid w:val="6C87345A"/>
    <w:rsid w:val="7044014D"/>
    <w:rsid w:val="71991D6D"/>
    <w:rsid w:val="753D4E5A"/>
    <w:rsid w:val="763079C4"/>
    <w:rsid w:val="76AD6777"/>
    <w:rsid w:val="78B05F90"/>
    <w:rsid w:val="7A9E45ED"/>
    <w:rsid w:val="7D32101D"/>
    <w:rsid w:val="7DC75638"/>
    <w:rsid w:val="7DCD6B2C"/>
    <w:rsid w:val="7FA04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paragraph" w:styleId="3">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bCs/>
      <w:kern w:val="0"/>
      <w:sz w:val="20"/>
      <w:szCs w:val="20"/>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0"/>
    <w:pPr>
      <w:spacing w:after="120"/>
    </w:pPr>
    <w:rPr>
      <w:kern w:val="0"/>
      <w:sz w:val="20"/>
    </w:rPr>
  </w:style>
  <w:style w:type="paragraph" w:styleId="5">
    <w:name w:val="footer"/>
    <w:basedOn w:val="1"/>
    <w:link w:val="11"/>
    <w:uiPriority w:val="0"/>
    <w:pPr>
      <w:tabs>
        <w:tab w:val="center" w:pos="4153"/>
        <w:tab w:val="right" w:pos="8306"/>
      </w:tabs>
      <w:snapToGrid w:val="0"/>
      <w:jc w:val="left"/>
    </w:pPr>
    <w:rPr>
      <w:sz w:val="18"/>
      <w:szCs w:val="18"/>
    </w:rPr>
  </w:style>
  <w:style w:type="paragraph" w:styleId="6">
    <w:name w:val="header"/>
    <w:basedOn w:val="1"/>
    <w:link w:val="10"/>
    <w:uiPriority w:val="0"/>
    <w:pPr>
      <w:tabs>
        <w:tab w:val="center" w:pos="4153"/>
        <w:tab w:val="right" w:pos="8306"/>
      </w:tabs>
      <w:snapToGrid w:val="0"/>
      <w:jc w:val="center"/>
    </w:pPr>
    <w:rPr>
      <w:sz w:val="18"/>
      <w:szCs w:val="18"/>
    </w:rPr>
  </w:style>
  <w:style w:type="paragraph" w:styleId="7">
    <w:name w:val="Normal (Web)"/>
    <w:basedOn w:val="1"/>
    <w:uiPriority w:val="0"/>
    <w:rPr>
      <w:sz w:val="24"/>
    </w:rPr>
  </w:style>
  <w:style w:type="character" w:customStyle="1" w:styleId="10">
    <w:name w:val="页眉 字符"/>
    <w:basedOn w:val="9"/>
    <w:link w:val="6"/>
    <w:uiPriority w:val="0"/>
    <w:rPr>
      <w:rFonts w:asciiTheme="minorHAnsi" w:hAnsiTheme="minorHAnsi" w:eastAsiaTheme="minorEastAsia" w:cstheme="minorBidi"/>
      <w:kern w:val="2"/>
      <w:sz w:val="18"/>
      <w:szCs w:val="18"/>
    </w:rPr>
  </w:style>
  <w:style w:type="character" w:customStyle="1" w:styleId="11">
    <w:name w:val="页脚 字符"/>
    <w:basedOn w:val="9"/>
    <w:link w:val="5"/>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622</Words>
  <Characters>3548</Characters>
  <Lines>29</Lines>
  <Paragraphs>8</Paragraphs>
  <TotalTime>3</TotalTime>
  <ScaleCrop>false</ScaleCrop>
  <LinksUpToDate>false</LinksUpToDate>
  <CharactersWithSpaces>4162</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2023-09-23T16:18:00Z</dcterms:created>
  <dc:creator>wuhao</dc:creator>
  <cp:lastModifiedBy>甜甜美美</cp:lastModifiedBy>
  <dcterms:modified xsi:type="dcterms:W3CDTF">2023-10-31T08:48:25Z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F7DF6CD6B1F548158A26090B9E5CC915_12</vt:lpwstr>
  </property>
</Properties>
</file>